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25D2C" w14:textId="77777777" w:rsidR="007A60FD" w:rsidRPr="00507577" w:rsidRDefault="007A60FD" w:rsidP="003317D9">
      <w:pPr>
        <w:pStyle w:val="DPWfdtblhead8"/>
        <w:pBdr>
          <w:top w:val="single" w:sz="4" w:space="1" w:color="auto"/>
          <w:left w:val="single" w:sz="4" w:space="4" w:color="auto"/>
          <w:bottom w:val="single" w:sz="4" w:space="1" w:color="auto"/>
          <w:right w:val="single" w:sz="4" w:space="4" w:color="auto"/>
        </w:pBdr>
        <w:spacing w:before="120" w:after="0" w:line="240" w:lineRule="auto"/>
        <w:ind w:left="-567" w:right="-660"/>
        <w:rPr>
          <w:sz w:val="20"/>
          <w:u w:val="single"/>
          <w:lang w:val="es-AR"/>
        </w:rPr>
      </w:pPr>
      <w:r w:rsidRPr="00507577">
        <w:rPr>
          <w:sz w:val="20"/>
          <w:u w:val="single"/>
          <w:lang w:val="es-AR"/>
        </w:rPr>
        <w:t>AVISO DE SUSCRIPCIÓN</w:t>
      </w:r>
    </w:p>
    <w:p w14:paraId="787D5BDD" w14:textId="25C9A994" w:rsidR="00A65817" w:rsidRPr="00507577" w:rsidRDefault="00EC08F2" w:rsidP="003317D9">
      <w:pPr>
        <w:pStyle w:val="DPWfdtblhead8"/>
        <w:spacing w:before="120" w:after="0" w:line="240" w:lineRule="auto"/>
        <w:ind w:left="-567" w:right="-660"/>
        <w:rPr>
          <w:sz w:val="20"/>
          <w:lang w:val="es-AR"/>
        </w:rPr>
      </w:pPr>
      <w:r w:rsidRPr="00507577">
        <w:rPr>
          <w:noProof/>
          <w:sz w:val="20"/>
        </w:rPr>
        <w:drawing>
          <wp:inline distT="0" distB="0" distL="0" distR="0" wp14:anchorId="34AB9DF0" wp14:editId="5EB6CC54">
            <wp:extent cx="1790700" cy="53340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533400"/>
                    </a:xfrm>
                    <a:prstGeom prst="rect">
                      <a:avLst/>
                    </a:prstGeom>
                    <a:noFill/>
                    <a:ln>
                      <a:noFill/>
                    </a:ln>
                  </pic:spPr>
                </pic:pic>
              </a:graphicData>
            </a:graphic>
          </wp:inline>
        </w:drawing>
      </w:r>
    </w:p>
    <w:p w14:paraId="7C3A294A" w14:textId="77777777" w:rsidR="007A60FD" w:rsidRPr="00507577" w:rsidRDefault="00755D36" w:rsidP="003317D9">
      <w:pPr>
        <w:spacing w:before="120"/>
        <w:ind w:left="-567" w:right="-660"/>
        <w:jc w:val="center"/>
        <w:rPr>
          <w:b/>
          <w:sz w:val="20"/>
          <w:szCs w:val="20"/>
          <w:lang w:val="es-AR"/>
        </w:rPr>
      </w:pPr>
      <w:r w:rsidRPr="00507577">
        <w:rPr>
          <w:b/>
          <w:sz w:val="20"/>
          <w:szCs w:val="20"/>
          <w:lang w:val="es-AR"/>
        </w:rPr>
        <w:t xml:space="preserve">BANCO </w:t>
      </w:r>
      <w:r w:rsidR="000D3276" w:rsidRPr="00507577">
        <w:rPr>
          <w:b/>
          <w:sz w:val="20"/>
          <w:szCs w:val="20"/>
          <w:lang w:val="es-AR"/>
        </w:rPr>
        <w:t xml:space="preserve">BBVA ARGENTINA </w:t>
      </w:r>
      <w:r w:rsidR="007A60FD" w:rsidRPr="00507577">
        <w:rPr>
          <w:b/>
          <w:sz w:val="20"/>
          <w:szCs w:val="20"/>
          <w:lang w:val="es-AR"/>
        </w:rPr>
        <w:t>S.A.</w:t>
      </w:r>
    </w:p>
    <w:tbl>
      <w:tblPr>
        <w:tblStyle w:val="TableGrid"/>
        <w:tblW w:w="5740" w:type="pct"/>
        <w:tblInd w:w="-6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2"/>
        <w:gridCol w:w="4882"/>
      </w:tblGrid>
      <w:tr w:rsidR="002465C5" w:rsidRPr="00507577" w14:paraId="4C4D7E57" w14:textId="6ACFD52E" w:rsidTr="00080266">
        <w:trPr>
          <w:trHeight w:val="1254"/>
        </w:trPr>
        <w:tc>
          <w:tcPr>
            <w:tcW w:w="2500" w:type="pct"/>
          </w:tcPr>
          <w:p w14:paraId="693C50FA" w14:textId="2E2547A8" w:rsidR="002465C5" w:rsidRPr="00507577" w:rsidRDefault="002465C5" w:rsidP="002465C5">
            <w:pPr>
              <w:widowControl w:val="0"/>
              <w:spacing w:before="120"/>
              <w:jc w:val="center"/>
              <w:rPr>
                <w:b/>
                <w:sz w:val="20"/>
                <w:szCs w:val="20"/>
                <w:lang w:val="es-AR"/>
              </w:rPr>
            </w:pPr>
            <w:bookmarkStart w:id="0" w:name="_Hlk183767908"/>
            <w:r w:rsidRPr="00182801">
              <w:rPr>
                <w:b/>
                <w:sz w:val="20"/>
                <w:szCs w:val="20"/>
                <w:lang w:val="es-AR"/>
              </w:rPr>
              <w:t>OBLIGACIONES NEGOCIABLES CLASE 44 DENOMINADAS Y PAGADERAS EN DÓLARES ESTADOUNIDENSES EN LA REPÚBLICA ARGENTINA A TASA FIJA CON VENCIMIENTO A LOS 24 MESES CONTADOS DESDE LA FECHA DE EMISIÓN Y LIQUIDACIÓN POR UN VALOR NOMINAL DE HASTA US$</w:t>
            </w:r>
            <w:r w:rsidRPr="00345EFB">
              <w:rPr>
                <w:b/>
                <w:sz w:val="20"/>
                <w:szCs w:val="20"/>
                <w:lang w:val="es-AR"/>
              </w:rPr>
              <w:t>40.000.000</w:t>
            </w:r>
            <w:r w:rsidRPr="00182801">
              <w:rPr>
                <w:b/>
                <w:sz w:val="20"/>
                <w:szCs w:val="20"/>
                <w:lang w:val="es-AR"/>
              </w:rPr>
              <w:t xml:space="preserve"> AMPLIABLE HASTA US$</w:t>
            </w:r>
            <w:r w:rsidRPr="00345EFB">
              <w:rPr>
                <w:b/>
                <w:sz w:val="20"/>
                <w:szCs w:val="20"/>
                <w:lang w:val="es-AR"/>
              </w:rPr>
              <w:t>150.000.000</w:t>
            </w:r>
            <w:bookmarkEnd w:id="0"/>
          </w:p>
        </w:tc>
        <w:tc>
          <w:tcPr>
            <w:tcW w:w="2500" w:type="pct"/>
          </w:tcPr>
          <w:p w14:paraId="423229AA" w14:textId="0E1F81D8" w:rsidR="002465C5" w:rsidRPr="003D7CF9" w:rsidRDefault="002465C5" w:rsidP="002465C5">
            <w:pPr>
              <w:widowControl w:val="0"/>
              <w:spacing w:before="120"/>
              <w:jc w:val="center"/>
              <w:rPr>
                <w:b/>
                <w:sz w:val="20"/>
                <w:szCs w:val="20"/>
                <w:lang w:val="es-AR"/>
              </w:rPr>
            </w:pPr>
            <w:r w:rsidRPr="00F53C5D">
              <w:rPr>
                <w:b/>
                <w:sz w:val="20"/>
                <w:szCs w:val="20"/>
                <w:lang w:val="es-AR"/>
              </w:rPr>
              <w:t xml:space="preserve">OBLIGACIONES NEGOCIABLES </w:t>
            </w:r>
            <w:r w:rsidRPr="00182801">
              <w:rPr>
                <w:b/>
                <w:sz w:val="20"/>
                <w:szCs w:val="20"/>
                <w:lang w:val="es-AR"/>
              </w:rPr>
              <w:t>CLASE 45 DENOMINADAS Y PAGADERAS EN DÓLARES ESTADOUNIDENSES EN LA REPÚBLICA ARGENTINA A TASA FIJA CON VENCIMIENTO A LOS 12 MESES CONTADOS DESDE LA FECHA DE EMISIÓN Y LIQUIDACIÓN POR UN VALOR NOMINAL DE HASTA US$</w:t>
            </w:r>
            <w:r w:rsidRPr="00345EFB">
              <w:rPr>
                <w:b/>
                <w:sz w:val="20"/>
                <w:szCs w:val="20"/>
                <w:lang w:val="es-AR"/>
              </w:rPr>
              <w:t>10.000.000</w:t>
            </w:r>
            <w:r w:rsidRPr="00182801">
              <w:rPr>
                <w:b/>
                <w:sz w:val="20"/>
                <w:szCs w:val="20"/>
                <w:lang w:val="es-AR"/>
              </w:rPr>
              <w:t xml:space="preserve"> AMPLIABLE HASTA US$</w:t>
            </w:r>
            <w:r w:rsidRPr="00345EFB">
              <w:rPr>
                <w:b/>
                <w:sz w:val="20"/>
                <w:szCs w:val="20"/>
                <w:lang w:val="es-AR"/>
              </w:rPr>
              <w:t>30.000.000</w:t>
            </w:r>
          </w:p>
        </w:tc>
      </w:tr>
    </w:tbl>
    <w:p w14:paraId="2F092E6B" w14:textId="77777777" w:rsidR="002465C5" w:rsidRDefault="002465C5" w:rsidP="003317D9">
      <w:pPr>
        <w:pStyle w:val="Default"/>
        <w:spacing w:before="120"/>
        <w:ind w:left="-567" w:right="-660"/>
        <w:jc w:val="both"/>
        <w:rPr>
          <w:rFonts w:ascii="Times New Roman" w:hAnsi="Times New Roman" w:cs="Times New Roman"/>
          <w:bCs/>
          <w:spacing w:val="-3"/>
          <w:sz w:val="20"/>
          <w:szCs w:val="20"/>
          <w:lang w:val="es-AR"/>
        </w:rPr>
      </w:pPr>
    </w:p>
    <w:p w14:paraId="70BEE478" w14:textId="77777777" w:rsidR="002465C5" w:rsidRDefault="002465C5" w:rsidP="002465C5">
      <w:pPr>
        <w:widowControl w:val="0"/>
        <w:spacing w:after="120"/>
        <w:jc w:val="center"/>
        <w:rPr>
          <w:sz w:val="20"/>
          <w:szCs w:val="20"/>
        </w:rPr>
      </w:pPr>
      <w:r>
        <w:rPr>
          <w:b/>
          <w:sz w:val="20"/>
          <w:szCs w:val="20"/>
          <w:lang w:val="es-AR"/>
        </w:rPr>
        <w:t xml:space="preserve">LAS </w:t>
      </w:r>
      <w:r w:rsidRPr="00182801">
        <w:rPr>
          <w:b/>
          <w:sz w:val="20"/>
          <w:szCs w:val="20"/>
          <w:lang w:val="es-AR"/>
        </w:rPr>
        <w:t>OBLIGACIONES NEGOCIABLES CLASE 44</w:t>
      </w:r>
      <w:r>
        <w:rPr>
          <w:b/>
          <w:sz w:val="20"/>
          <w:szCs w:val="20"/>
          <w:lang w:val="es-AR"/>
        </w:rPr>
        <w:t xml:space="preserve"> Y LAS OBLIGACIONES NEGOCIABLES CLASE 45</w:t>
      </w:r>
      <w:r w:rsidRPr="00182801">
        <w:rPr>
          <w:b/>
          <w:sz w:val="20"/>
          <w:szCs w:val="20"/>
          <w:lang w:val="es-AR"/>
        </w:rPr>
        <w:t xml:space="preserve"> </w:t>
      </w:r>
      <w:r>
        <w:rPr>
          <w:b/>
          <w:sz w:val="20"/>
          <w:szCs w:val="20"/>
          <w:lang w:val="es-AR"/>
        </w:rPr>
        <w:t>NO PODRÁN EXCEDER UN VALOR NOMINAL EN CONJUNTO DE</w:t>
      </w:r>
      <w:r w:rsidRPr="00182801">
        <w:rPr>
          <w:b/>
          <w:sz w:val="20"/>
          <w:szCs w:val="20"/>
          <w:lang w:val="es-AR"/>
        </w:rPr>
        <w:t xml:space="preserve"> US$</w:t>
      </w:r>
      <w:r w:rsidRPr="0024128F">
        <w:rPr>
          <w:b/>
          <w:sz w:val="20"/>
          <w:szCs w:val="20"/>
          <w:lang w:val="es-AR"/>
        </w:rPr>
        <w:t>150.000.000</w:t>
      </w:r>
    </w:p>
    <w:p w14:paraId="49D7B83E" w14:textId="58333C4D" w:rsidR="00E1288A" w:rsidRPr="00507577" w:rsidRDefault="007A60FD" w:rsidP="003317D9">
      <w:pPr>
        <w:pStyle w:val="Default"/>
        <w:spacing w:before="120"/>
        <w:ind w:left="-567" w:right="-660"/>
        <w:jc w:val="both"/>
        <w:rPr>
          <w:rFonts w:ascii="Times New Roman" w:hAnsi="Times New Roman" w:cs="Times New Roman"/>
          <w:bCs/>
          <w:spacing w:val="-3"/>
          <w:sz w:val="20"/>
          <w:szCs w:val="20"/>
          <w:lang w:val="es-AR"/>
        </w:rPr>
      </w:pPr>
      <w:r w:rsidRPr="00507577">
        <w:rPr>
          <w:rFonts w:ascii="Times New Roman" w:hAnsi="Times New Roman" w:cs="Times New Roman"/>
          <w:bCs/>
          <w:spacing w:val="-3"/>
          <w:sz w:val="20"/>
          <w:szCs w:val="20"/>
          <w:lang w:val="es-AR"/>
        </w:rPr>
        <w:t xml:space="preserve">Se comunica </w:t>
      </w:r>
      <w:r w:rsidR="000347C1" w:rsidRPr="00507577">
        <w:rPr>
          <w:rFonts w:ascii="Times New Roman" w:hAnsi="Times New Roman" w:cs="Times New Roman"/>
          <w:bCs/>
          <w:spacing w:val="-3"/>
          <w:sz w:val="20"/>
          <w:szCs w:val="20"/>
          <w:lang w:val="es-AR"/>
        </w:rPr>
        <w:t>a</w:t>
      </w:r>
      <w:r w:rsidR="001B40CF">
        <w:rPr>
          <w:rFonts w:ascii="Times New Roman" w:hAnsi="Times New Roman" w:cs="Times New Roman"/>
          <w:bCs/>
          <w:spacing w:val="-3"/>
          <w:sz w:val="20"/>
          <w:szCs w:val="20"/>
          <w:lang w:val="es-AR"/>
        </w:rPr>
        <w:t>l público</w:t>
      </w:r>
      <w:r w:rsidR="00531A2D">
        <w:rPr>
          <w:rFonts w:ascii="Times New Roman" w:hAnsi="Times New Roman" w:cs="Times New Roman"/>
          <w:bCs/>
          <w:spacing w:val="-3"/>
          <w:sz w:val="20"/>
          <w:szCs w:val="20"/>
          <w:lang w:val="es-AR"/>
        </w:rPr>
        <w:t xml:space="preserve"> inversor</w:t>
      </w:r>
      <w:r w:rsidR="001B40CF">
        <w:rPr>
          <w:rFonts w:ascii="Times New Roman" w:hAnsi="Times New Roman" w:cs="Times New Roman"/>
          <w:bCs/>
          <w:spacing w:val="-3"/>
          <w:sz w:val="20"/>
          <w:szCs w:val="20"/>
          <w:lang w:val="es-AR"/>
        </w:rPr>
        <w:t xml:space="preserve"> en general</w:t>
      </w:r>
      <w:r w:rsidRPr="00507577">
        <w:rPr>
          <w:rFonts w:ascii="Times New Roman" w:hAnsi="Times New Roman" w:cs="Times New Roman"/>
          <w:bCs/>
          <w:spacing w:val="-3"/>
          <w:sz w:val="20"/>
          <w:szCs w:val="20"/>
          <w:lang w:val="es-AR"/>
        </w:rPr>
        <w:t xml:space="preserve"> que </w:t>
      </w:r>
      <w:r w:rsidR="00755D36" w:rsidRPr="00507577">
        <w:rPr>
          <w:rFonts w:ascii="Times New Roman" w:hAnsi="Times New Roman" w:cs="Times New Roman"/>
          <w:bCs/>
          <w:spacing w:val="-3"/>
          <w:sz w:val="20"/>
          <w:szCs w:val="20"/>
          <w:lang w:val="es-AR"/>
        </w:rPr>
        <w:t xml:space="preserve">Banco </w:t>
      </w:r>
      <w:r w:rsidR="000D3276" w:rsidRPr="00507577">
        <w:rPr>
          <w:rFonts w:ascii="Times New Roman" w:hAnsi="Times New Roman" w:cs="Times New Roman"/>
          <w:bCs/>
          <w:spacing w:val="-3"/>
          <w:sz w:val="20"/>
          <w:szCs w:val="20"/>
          <w:lang w:val="es-AR"/>
        </w:rPr>
        <w:t xml:space="preserve">BBVA Argentina </w:t>
      </w:r>
      <w:r w:rsidRPr="00507577">
        <w:rPr>
          <w:rFonts w:ascii="Times New Roman" w:hAnsi="Times New Roman" w:cs="Times New Roman"/>
          <w:bCs/>
          <w:spacing w:val="-3"/>
          <w:sz w:val="20"/>
          <w:szCs w:val="20"/>
          <w:lang w:val="es-AR"/>
        </w:rPr>
        <w:t>S.A. (“</w:t>
      </w:r>
      <w:r w:rsidR="00755D36" w:rsidRPr="00507577">
        <w:rPr>
          <w:rFonts w:ascii="Times New Roman" w:hAnsi="Times New Roman" w:cs="Times New Roman"/>
          <w:bCs/>
          <w:spacing w:val="-3"/>
          <w:sz w:val="20"/>
          <w:szCs w:val="20"/>
          <w:u w:val="single"/>
          <w:lang w:val="es-AR"/>
        </w:rPr>
        <w:t>BBVA</w:t>
      </w:r>
      <w:r w:rsidRPr="00507577">
        <w:rPr>
          <w:rFonts w:ascii="Times New Roman" w:hAnsi="Times New Roman" w:cs="Times New Roman"/>
          <w:bCs/>
          <w:spacing w:val="-3"/>
          <w:sz w:val="20"/>
          <w:szCs w:val="20"/>
          <w:lang w:val="es-AR"/>
        </w:rPr>
        <w:t>”) ofrece en suscripción</w:t>
      </w:r>
      <w:r w:rsidR="00ED27C1">
        <w:rPr>
          <w:rFonts w:ascii="Times New Roman" w:hAnsi="Times New Roman" w:cs="Times New Roman"/>
          <w:bCs/>
          <w:spacing w:val="-3"/>
          <w:sz w:val="20"/>
          <w:szCs w:val="20"/>
          <w:lang w:val="es-AR"/>
        </w:rPr>
        <w:t xml:space="preserve"> </w:t>
      </w:r>
      <w:r w:rsidR="002465C5" w:rsidRPr="002465C5">
        <w:rPr>
          <w:rFonts w:ascii="Times New Roman" w:hAnsi="Times New Roman" w:cs="Times New Roman"/>
          <w:bCs/>
          <w:spacing w:val="-3"/>
          <w:sz w:val="20"/>
          <w:szCs w:val="20"/>
          <w:lang w:val="es-AR"/>
        </w:rPr>
        <w:t>(i) las Obligaciones Negociables Clase 44 denominadas y pagaderas en dólares estadounidenses en la República Argentina a tasa fija con vencimiento a los 24 meses contados desde la Fecha de Emisión y Liquidación por un valor nominal de hasta US$40.000.000 ampliable hasta US$150.000.000 (las “</w:t>
      </w:r>
      <w:r w:rsidR="002465C5" w:rsidRPr="00080266">
        <w:rPr>
          <w:rFonts w:ascii="Times New Roman" w:hAnsi="Times New Roman" w:cs="Times New Roman"/>
          <w:bCs/>
          <w:spacing w:val="-3"/>
          <w:sz w:val="20"/>
          <w:szCs w:val="20"/>
          <w:u w:val="single"/>
          <w:lang w:val="es-AR"/>
        </w:rPr>
        <w:t>Obligaciones Negociables Clase 44</w:t>
      </w:r>
      <w:r w:rsidR="002465C5" w:rsidRPr="002465C5">
        <w:rPr>
          <w:rFonts w:ascii="Times New Roman" w:hAnsi="Times New Roman" w:cs="Times New Roman"/>
          <w:bCs/>
          <w:spacing w:val="-3"/>
          <w:sz w:val="20"/>
          <w:szCs w:val="20"/>
          <w:lang w:val="es-AR"/>
        </w:rPr>
        <w:t>”); y (</w:t>
      </w:r>
      <w:proofErr w:type="spellStart"/>
      <w:r w:rsidR="002465C5" w:rsidRPr="002465C5">
        <w:rPr>
          <w:rFonts w:ascii="Times New Roman" w:hAnsi="Times New Roman" w:cs="Times New Roman"/>
          <w:bCs/>
          <w:spacing w:val="-3"/>
          <w:sz w:val="20"/>
          <w:szCs w:val="20"/>
          <w:lang w:val="es-AR"/>
        </w:rPr>
        <w:t>ii</w:t>
      </w:r>
      <w:proofErr w:type="spellEnd"/>
      <w:r w:rsidR="002465C5" w:rsidRPr="002465C5">
        <w:rPr>
          <w:rFonts w:ascii="Times New Roman" w:hAnsi="Times New Roman" w:cs="Times New Roman"/>
          <w:bCs/>
          <w:spacing w:val="-3"/>
          <w:sz w:val="20"/>
          <w:szCs w:val="20"/>
          <w:lang w:val="es-AR"/>
        </w:rPr>
        <w:t>) las Obligaciones Negociables Clase 45 denominadas y pagaderas en dólares estadounidenses en la República Argentina a tasa fija con vencimiento a los 12 meses contados desde la Fecha de Emisión y Liquidación por un valor nominal de hasta US$10.000.000 ampliable hasta US$30.000.000 (las “</w:t>
      </w:r>
      <w:r w:rsidR="002465C5" w:rsidRPr="00080266">
        <w:rPr>
          <w:rFonts w:ascii="Times New Roman" w:hAnsi="Times New Roman" w:cs="Times New Roman"/>
          <w:bCs/>
          <w:spacing w:val="-3"/>
          <w:sz w:val="20"/>
          <w:szCs w:val="20"/>
          <w:u w:val="single"/>
          <w:lang w:val="es-AR"/>
        </w:rPr>
        <w:t>Obligaciones Negociables Clase 45</w:t>
      </w:r>
      <w:r w:rsidR="002465C5" w:rsidRPr="002465C5">
        <w:rPr>
          <w:rFonts w:ascii="Times New Roman" w:hAnsi="Times New Roman" w:cs="Times New Roman"/>
          <w:bCs/>
          <w:spacing w:val="-3"/>
          <w:sz w:val="20"/>
          <w:szCs w:val="20"/>
          <w:lang w:val="es-AR"/>
        </w:rPr>
        <w:t>”, y junto con las Obligaciones Negociables Clase 44 las “</w:t>
      </w:r>
      <w:r w:rsidR="002465C5" w:rsidRPr="00080266">
        <w:rPr>
          <w:rFonts w:ascii="Times New Roman" w:hAnsi="Times New Roman" w:cs="Times New Roman"/>
          <w:bCs/>
          <w:spacing w:val="-3"/>
          <w:sz w:val="20"/>
          <w:szCs w:val="20"/>
          <w:u w:val="single"/>
          <w:lang w:val="es-AR"/>
        </w:rPr>
        <w:t>Obligaciones Negociables</w:t>
      </w:r>
      <w:r w:rsidR="002465C5" w:rsidRPr="002465C5">
        <w:rPr>
          <w:rFonts w:ascii="Times New Roman" w:hAnsi="Times New Roman" w:cs="Times New Roman"/>
          <w:bCs/>
          <w:spacing w:val="-3"/>
          <w:sz w:val="20"/>
          <w:szCs w:val="20"/>
          <w:lang w:val="es-AR"/>
        </w:rPr>
        <w:t>”), las cuales, en conjunto, no podrán exceder el valor nominal de US$150.000.000 (el “</w:t>
      </w:r>
      <w:r w:rsidR="002465C5" w:rsidRPr="00080266">
        <w:rPr>
          <w:rFonts w:ascii="Times New Roman" w:hAnsi="Times New Roman" w:cs="Times New Roman"/>
          <w:bCs/>
          <w:spacing w:val="-3"/>
          <w:sz w:val="20"/>
          <w:szCs w:val="20"/>
          <w:u w:val="single"/>
          <w:lang w:val="es-AR"/>
        </w:rPr>
        <w:t>Monto Máximo de Emisión</w:t>
      </w:r>
      <w:r w:rsidR="002465C5" w:rsidRPr="002465C5">
        <w:rPr>
          <w:rFonts w:ascii="Times New Roman" w:hAnsi="Times New Roman" w:cs="Times New Roman"/>
          <w:bCs/>
          <w:spacing w:val="-3"/>
          <w:sz w:val="20"/>
          <w:szCs w:val="20"/>
          <w:lang w:val="es-AR"/>
        </w:rPr>
        <w:t>”)</w:t>
      </w:r>
      <w:r w:rsidR="000279F1" w:rsidRPr="00507577">
        <w:rPr>
          <w:rFonts w:ascii="Times New Roman" w:hAnsi="Times New Roman" w:cs="Times New Roman"/>
          <w:bCs/>
          <w:spacing w:val="-3"/>
          <w:sz w:val="20"/>
          <w:szCs w:val="20"/>
          <w:lang w:val="es-AR"/>
        </w:rPr>
        <w:t>. Las Obligaciones Negociables serán</w:t>
      </w:r>
      <w:r w:rsidRPr="00507577">
        <w:rPr>
          <w:rFonts w:ascii="Times New Roman" w:hAnsi="Times New Roman" w:cs="Times New Roman"/>
          <w:bCs/>
          <w:spacing w:val="-3"/>
          <w:sz w:val="20"/>
          <w:szCs w:val="20"/>
          <w:lang w:val="es-AR"/>
        </w:rPr>
        <w:t xml:space="preserve"> emitidas bajo el </w:t>
      </w:r>
      <w:r w:rsidR="00755D36" w:rsidRPr="00507577">
        <w:rPr>
          <w:rFonts w:ascii="Times New Roman" w:hAnsi="Times New Roman" w:cs="Times New Roman"/>
          <w:bCs/>
          <w:spacing w:val="-3"/>
          <w:sz w:val="20"/>
          <w:szCs w:val="20"/>
          <w:lang w:val="es-AR"/>
        </w:rPr>
        <w:t xml:space="preserve">programa global de obligaciones negociables por un monto máximo de hasta </w:t>
      </w:r>
      <w:r w:rsidR="00B540F1" w:rsidRPr="00507577">
        <w:rPr>
          <w:rFonts w:ascii="Times New Roman" w:hAnsi="Times New Roman" w:cs="Times New Roman"/>
          <w:bCs/>
          <w:spacing w:val="-3"/>
          <w:sz w:val="20"/>
          <w:szCs w:val="20"/>
          <w:lang w:val="es-AR"/>
        </w:rPr>
        <w:t>US$</w:t>
      </w:r>
      <w:r w:rsidR="0070231A">
        <w:rPr>
          <w:rFonts w:ascii="Times New Roman" w:hAnsi="Times New Roman" w:cs="Times New Roman"/>
          <w:bCs/>
          <w:spacing w:val="-3"/>
          <w:sz w:val="20"/>
          <w:szCs w:val="20"/>
          <w:lang w:val="es-AR"/>
        </w:rPr>
        <w:t>1.0</w:t>
      </w:r>
      <w:r w:rsidR="0070231A" w:rsidRPr="00507577">
        <w:rPr>
          <w:rFonts w:ascii="Times New Roman" w:hAnsi="Times New Roman" w:cs="Times New Roman"/>
          <w:bCs/>
          <w:spacing w:val="-3"/>
          <w:sz w:val="20"/>
          <w:szCs w:val="20"/>
          <w:lang w:val="es-AR"/>
        </w:rPr>
        <w:t>00</w:t>
      </w:r>
      <w:r w:rsidR="00B540F1" w:rsidRPr="00507577">
        <w:rPr>
          <w:rFonts w:ascii="Times New Roman" w:hAnsi="Times New Roman" w:cs="Times New Roman"/>
          <w:bCs/>
          <w:spacing w:val="-3"/>
          <w:sz w:val="20"/>
          <w:szCs w:val="20"/>
          <w:lang w:val="es-AR"/>
        </w:rPr>
        <w:t xml:space="preserve">.000.000 </w:t>
      </w:r>
      <w:r w:rsidR="000D3276" w:rsidRPr="00507577">
        <w:rPr>
          <w:rFonts w:ascii="Times New Roman" w:hAnsi="Times New Roman" w:cs="Times New Roman"/>
          <w:bCs/>
          <w:spacing w:val="-3"/>
          <w:sz w:val="20"/>
          <w:szCs w:val="20"/>
          <w:lang w:val="es-AR"/>
        </w:rPr>
        <w:t xml:space="preserve">(o su equivalente en otras monedas o unidades de valor) </w:t>
      </w:r>
      <w:r w:rsidRPr="00507577">
        <w:rPr>
          <w:rFonts w:ascii="Times New Roman" w:hAnsi="Times New Roman" w:cs="Times New Roman"/>
          <w:bCs/>
          <w:spacing w:val="-3"/>
          <w:sz w:val="20"/>
          <w:szCs w:val="20"/>
          <w:lang w:val="es-AR"/>
        </w:rPr>
        <w:t>(el “</w:t>
      </w:r>
      <w:r w:rsidRPr="00507577">
        <w:rPr>
          <w:rFonts w:ascii="Times New Roman" w:hAnsi="Times New Roman" w:cs="Times New Roman"/>
          <w:bCs/>
          <w:spacing w:val="-3"/>
          <w:sz w:val="20"/>
          <w:szCs w:val="20"/>
          <w:u w:val="single"/>
          <w:lang w:val="es-AR"/>
        </w:rPr>
        <w:t>Programa</w:t>
      </w:r>
      <w:r w:rsidRPr="00507577">
        <w:rPr>
          <w:rFonts w:ascii="Times New Roman" w:hAnsi="Times New Roman" w:cs="Times New Roman"/>
          <w:bCs/>
          <w:spacing w:val="-3"/>
          <w:sz w:val="20"/>
          <w:szCs w:val="20"/>
          <w:lang w:val="es-AR"/>
        </w:rPr>
        <w:t>”), autorizado por la Comisión Nacional de Valores</w:t>
      </w:r>
      <w:r w:rsidR="008D21E6" w:rsidRPr="00507577">
        <w:rPr>
          <w:rFonts w:ascii="Times New Roman" w:hAnsi="Times New Roman" w:cs="Times New Roman"/>
          <w:bCs/>
          <w:spacing w:val="-3"/>
          <w:sz w:val="20"/>
          <w:szCs w:val="20"/>
          <w:lang w:val="es-AR"/>
        </w:rPr>
        <w:t xml:space="preserve"> (la “</w:t>
      </w:r>
      <w:r w:rsidR="008D21E6" w:rsidRPr="00507577">
        <w:rPr>
          <w:rFonts w:ascii="Times New Roman" w:hAnsi="Times New Roman" w:cs="Times New Roman"/>
          <w:bCs/>
          <w:spacing w:val="-3"/>
          <w:sz w:val="20"/>
          <w:szCs w:val="20"/>
          <w:u w:val="single"/>
          <w:lang w:val="es-AR"/>
        </w:rPr>
        <w:t>CNV</w:t>
      </w:r>
      <w:r w:rsidR="008D21E6" w:rsidRPr="00507577">
        <w:rPr>
          <w:rFonts w:ascii="Times New Roman" w:hAnsi="Times New Roman" w:cs="Times New Roman"/>
          <w:bCs/>
          <w:spacing w:val="-3"/>
          <w:sz w:val="20"/>
          <w:szCs w:val="20"/>
          <w:lang w:val="es-AR"/>
        </w:rPr>
        <w:t>”)</w:t>
      </w:r>
      <w:r w:rsidRPr="00507577">
        <w:rPr>
          <w:rFonts w:ascii="Times New Roman" w:hAnsi="Times New Roman" w:cs="Times New Roman"/>
          <w:bCs/>
          <w:spacing w:val="-3"/>
          <w:sz w:val="20"/>
          <w:szCs w:val="20"/>
          <w:lang w:val="es-AR"/>
        </w:rPr>
        <w:t xml:space="preserve"> mediante </w:t>
      </w:r>
      <w:r w:rsidR="00970992" w:rsidRPr="00507577">
        <w:rPr>
          <w:rFonts w:ascii="Times New Roman" w:hAnsi="Times New Roman" w:cs="Times New Roman"/>
          <w:bCs/>
          <w:spacing w:val="-3"/>
          <w:sz w:val="20"/>
          <w:szCs w:val="20"/>
          <w:lang w:val="es-AR"/>
        </w:rPr>
        <w:t>Resoluciones No. 14.967 de fecha 29 de noviembre de 2004, No. 16.010 de fecha 6 de noviembre de 2008</w:t>
      </w:r>
      <w:r w:rsidR="00814AD8" w:rsidRPr="00507577">
        <w:rPr>
          <w:rFonts w:ascii="Times New Roman" w:hAnsi="Times New Roman" w:cs="Times New Roman"/>
          <w:bCs/>
          <w:spacing w:val="-3"/>
          <w:sz w:val="20"/>
          <w:szCs w:val="20"/>
          <w:lang w:val="es-AR"/>
        </w:rPr>
        <w:t>,</w:t>
      </w:r>
      <w:r w:rsidR="00970992" w:rsidRPr="00507577">
        <w:rPr>
          <w:rFonts w:ascii="Times New Roman" w:hAnsi="Times New Roman" w:cs="Times New Roman"/>
          <w:bCs/>
          <w:spacing w:val="-3"/>
          <w:sz w:val="20"/>
          <w:szCs w:val="20"/>
          <w:lang w:val="es-AR"/>
        </w:rPr>
        <w:t xml:space="preserve"> No. 16.611 de fecha 21 de julio de 2011</w:t>
      </w:r>
      <w:r w:rsidR="008B3031" w:rsidRPr="00507577">
        <w:rPr>
          <w:rFonts w:ascii="Times New Roman" w:hAnsi="Times New Roman" w:cs="Times New Roman"/>
          <w:bCs/>
          <w:spacing w:val="-3"/>
          <w:sz w:val="20"/>
          <w:szCs w:val="20"/>
          <w:lang w:val="es-AR"/>
        </w:rPr>
        <w:t xml:space="preserve">, </w:t>
      </w:r>
      <w:r w:rsidR="00814AD8" w:rsidRPr="00507577">
        <w:rPr>
          <w:rFonts w:ascii="Times New Roman" w:hAnsi="Times New Roman" w:cs="Times New Roman"/>
          <w:bCs/>
          <w:spacing w:val="-3"/>
          <w:sz w:val="20"/>
          <w:szCs w:val="20"/>
          <w:lang w:val="es-AR"/>
        </w:rPr>
        <w:t xml:space="preserve">No. </w:t>
      </w:r>
      <w:r w:rsidR="00814AD8" w:rsidRPr="00507577">
        <w:rPr>
          <w:rFonts w:ascii="Times New Roman" w:hAnsi="Times New Roman" w:cs="Times New Roman"/>
          <w:sz w:val="20"/>
          <w:szCs w:val="20"/>
          <w:lang w:val="es-AR"/>
        </w:rPr>
        <w:t>16.826 de fecha 30 de mayo de 2012</w:t>
      </w:r>
      <w:r w:rsidR="003E2207" w:rsidRPr="00507577">
        <w:rPr>
          <w:rFonts w:ascii="Times New Roman" w:hAnsi="Times New Roman" w:cs="Times New Roman"/>
          <w:sz w:val="20"/>
          <w:szCs w:val="20"/>
          <w:lang w:val="es-AR"/>
        </w:rPr>
        <w:t>,</w:t>
      </w:r>
      <w:r w:rsidR="00992798" w:rsidRPr="00507577">
        <w:rPr>
          <w:rFonts w:ascii="Times New Roman" w:hAnsi="Times New Roman" w:cs="Times New Roman"/>
          <w:sz w:val="20"/>
          <w:szCs w:val="20"/>
          <w:lang w:val="es-AR"/>
        </w:rPr>
        <w:t xml:space="preserve"> </w:t>
      </w:r>
      <w:r w:rsidR="004B1464" w:rsidRPr="00507577">
        <w:rPr>
          <w:rFonts w:ascii="Times New Roman" w:hAnsi="Times New Roman" w:cs="Times New Roman"/>
          <w:sz w:val="20"/>
          <w:szCs w:val="20"/>
          <w:lang w:val="es-AR"/>
        </w:rPr>
        <w:t>No. 17.127 de fecha 11</w:t>
      </w:r>
      <w:r w:rsidR="008B3031" w:rsidRPr="00507577">
        <w:rPr>
          <w:rFonts w:ascii="Times New Roman" w:hAnsi="Times New Roman" w:cs="Times New Roman"/>
          <w:sz w:val="20"/>
          <w:szCs w:val="20"/>
          <w:lang w:val="es-AR"/>
        </w:rPr>
        <w:t xml:space="preserve"> de julio de 2013</w:t>
      </w:r>
      <w:r w:rsidR="00B540F1" w:rsidRPr="00507577">
        <w:rPr>
          <w:rFonts w:ascii="Times New Roman" w:hAnsi="Times New Roman" w:cs="Times New Roman"/>
          <w:bCs/>
          <w:spacing w:val="-3"/>
          <w:sz w:val="20"/>
          <w:szCs w:val="20"/>
          <w:lang w:val="es-AR"/>
        </w:rPr>
        <w:t>,</w:t>
      </w:r>
      <w:r w:rsidR="003E2207" w:rsidRPr="00507577">
        <w:rPr>
          <w:rFonts w:ascii="Times New Roman" w:hAnsi="Times New Roman" w:cs="Times New Roman"/>
          <w:bCs/>
          <w:spacing w:val="-3"/>
          <w:sz w:val="20"/>
          <w:szCs w:val="20"/>
          <w:lang w:val="es-AR"/>
        </w:rPr>
        <w:t xml:space="preserve"> No. RESFC-2018-19516-APN-DIR#CNV de fecha 17 de mayo de 2018</w:t>
      </w:r>
      <w:r w:rsidR="0070231A">
        <w:rPr>
          <w:rFonts w:ascii="Times New Roman" w:hAnsi="Times New Roman" w:cs="Times New Roman"/>
          <w:bCs/>
          <w:spacing w:val="-3"/>
          <w:sz w:val="20"/>
          <w:szCs w:val="20"/>
          <w:lang w:val="es-AR"/>
        </w:rPr>
        <w:t>,</w:t>
      </w:r>
      <w:r w:rsidR="00B540F1" w:rsidRPr="00507577">
        <w:rPr>
          <w:rFonts w:ascii="Times New Roman" w:hAnsi="Times New Roman" w:cs="Times New Roman"/>
          <w:bCs/>
          <w:spacing w:val="-3"/>
          <w:sz w:val="20"/>
          <w:szCs w:val="20"/>
          <w:lang w:val="es-AR"/>
        </w:rPr>
        <w:t xml:space="preserve"> Disposición No. DI-2022-36-APN-GE#CNV de fecha 13 de julio de 2022</w:t>
      </w:r>
      <w:r w:rsidR="0070231A">
        <w:rPr>
          <w:rFonts w:ascii="Times New Roman" w:hAnsi="Times New Roman" w:cs="Times New Roman"/>
          <w:bCs/>
          <w:spacing w:val="-3"/>
          <w:sz w:val="20"/>
          <w:szCs w:val="20"/>
          <w:lang w:val="es-AR"/>
        </w:rPr>
        <w:t xml:space="preserve"> y </w:t>
      </w:r>
      <w:r w:rsidR="0070231A" w:rsidRPr="0070231A">
        <w:rPr>
          <w:rFonts w:ascii="Times New Roman" w:hAnsi="Times New Roman" w:cs="Times New Roman"/>
          <w:bCs/>
          <w:spacing w:val="-3"/>
          <w:sz w:val="20"/>
          <w:szCs w:val="20"/>
          <w:lang w:val="es-AR"/>
        </w:rPr>
        <w:t>Disposición N°DI-2025-80-APN-GE#CNV de fecha 15 de mayo de 2025</w:t>
      </w:r>
      <w:r w:rsidR="00B540F1" w:rsidRPr="00507577">
        <w:rPr>
          <w:rFonts w:ascii="Times New Roman" w:hAnsi="Times New Roman" w:cs="Times New Roman"/>
          <w:bCs/>
          <w:spacing w:val="-3"/>
          <w:sz w:val="20"/>
          <w:szCs w:val="20"/>
          <w:lang w:val="es-AR"/>
        </w:rPr>
        <w:t xml:space="preserve"> </w:t>
      </w:r>
      <w:r w:rsidRPr="00507577">
        <w:rPr>
          <w:rFonts w:ascii="Times New Roman" w:hAnsi="Times New Roman" w:cs="Times New Roman"/>
          <w:bCs/>
          <w:spacing w:val="-3"/>
          <w:sz w:val="20"/>
          <w:szCs w:val="20"/>
          <w:lang w:val="es-AR"/>
        </w:rPr>
        <w:t xml:space="preserve">de acuerdo con los términos y condiciones detallados en el </w:t>
      </w:r>
      <w:r w:rsidR="000C45B2" w:rsidRPr="00507577">
        <w:rPr>
          <w:rFonts w:ascii="Times New Roman" w:hAnsi="Times New Roman" w:cs="Times New Roman"/>
          <w:bCs/>
          <w:spacing w:val="-3"/>
          <w:sz w:val="20"/>
          <w:szCs w:val="20"/>
          <w:lang w:val="es-AR"/>
        </w:rPr>
        <w:t>p</w:t>
      </w:r>
      <w:r w:rsidRPr="00507577">
        <w:rPr>
          <w:rFonts w:ascii="Times New Roman" w:hAnsi="Times New Roman" w:cs="Times New Roman"/>
          <w:bCs/>
          <w:spacing w:val="-3"/>
          <w:sz w:val="20"/>
          <w:szCs w:val="20"/>
          <w:lang w:val="es-AR"/>
        </w:rPr>
        <w:t xml:space="preserve">rospecto del Programa </w:t>
      </w:r>
      <w:r w:rsidR="000C45B2" w:rsidRPr="00507577">
        <w:rPr>
          <w:rFonts w:ascii="Times New Roman" w:hAnsi="Times New Roman" w:cs="Times New Roman"/>
          <w:bCs/>
          <w:spacing w:val="-3"/>
          <w:sz w:val="20"/>
          <w:szCs w:val="20"/>
          <w:lang w:val="es-AR"/>
        </w:rPr>
        <w:t xml:space="preserve">de fecha </w:t>
      </w:r>
      <w:r w:rsidR="0070231A">
        <w:rPr>
          <w:rFonts w:ascii="Times New Roman" w:hAnsi="Times New Roman" w:cs="Times New Roman"/>
          <w:bCs/>
          <w:spacing w:val="-3"/>
          <w:sz w:val="20"/>
          <w:szCs w:val="20"/>
          <w:lang w:val="es-AR"/>
        </w:rPr>
        <w:t>19</w:t>
      </w:r>
      <w:r w:rsidR="0070231A" w:rsidRPr="00507577">
        <w:rPr>
          <w:rFonts w:ascii="Times New Roman" w:hAnsi="Times New Roman" w:cs="Times New Roman"/>
          <w:bCs/>
          <w:spacing w:val="-3"/>
          <w:sz w:val="20"/>
          <w:szCs w:val="20"/>
          <w:lang w:val="es-AR"/>
        </w:rPr>
        <w:t xml:space="preserve"> </w:t>
      </w:r>
      <w:r w:rsidR="00B540F1" w:rsidRPr="00507577">
        <w:rPr>
          <w:rFonts w:ascii="Times New Roman" w:hAnsi="Times New Roman" w:cs="Times New Roman"/>
          <w:bCs/>
          <w:spacing w:val="-3"/>
          <w:sz w:val="20"/>
          <w:szCs w:val="20"/>
          <w:lang w:val="es-AR"/>
        </w:rPr>
        <w:t xml:space="preserve">de </w:t>
      </w:r>
      <w:r w:rsidR="0070231A">
        <w:rPr>
          <w:rFonts w:ascii="Times New Roman" w:hAnsi="Times New Roman" w:cs="Times New Roman"/>
          <w:bCs/>
          <w:spacing w:val="-3"/>
          <w:sz w:val="20"/>
          <w:szCs w:val="20"/>
          <w:lang w:val="es-AR"/>
        </w:rPr>
        <w:t>mayo</w:t>
      </w:r>
      <w:r w:rsidR="0070231A" w:rsidRPr="00507577">
        <w:rPr>
          <w:rFonts w:ascii="Times New Roman" w:hAnsi="Times New Roman" w:cs="Times New Roman"/>
          <w:bCs/>
          <w:spacing w:val="-3"/>
          <w:sz w:val="20"/>
          <w:szCs w:val="20"/>
          <w:lang w:val="es-AR"/>
        </w:rPr>
        <w:t xml:space="preserve"> </w:t>
      </w:r>
      <w:r w:rsidR="00B540F1" w:rsidRPr="00507577">
        <w:rPr>
          <w:rFonts w:ascii="Times New Roman" w:hAnsi="Times New Roman" w:cs="Times New Roman"/>
          <w:bCs/>
          <w:spacing w:val="-3"/>
          <w:sz w:val="20"/>
          <w:szCs w:val="20"/>
          <w:lang w:val="es-AR"/>
        </w:rPr>
        <w:t xml:space="preserve">de </w:t>
      </w:r>
      <w:r w:rsidR="0070231A" w:rsidRPr="00507577">
        <w:rPr>
          <w:rFonts w:ascii="Times New Roman" w:hAnsi="Times New Roman" w:cs="Times New Roman"/>
          <w:bCs/>
          <w:spacing w:val="-3"/>
          <w:sz w:val="20"/>
          <w:szCs w:val="20"/>
          <w:lang w:val="es-AR"/>
        </w:rPr>
        <w:t>202</w:t>
      </w:r>
      <w:r w:rsidR="0070231A">
        <w:rPr>
          <w:rFonts w:ascii="Times New Roman" w:hAnsi="Times New Roman" w:cs="Times New Roman"/>
          <w:bCs/>
          <w:spacing w:val="-3"/>
          <w:sz w:val="20"/>
          <w:szCs w:val="20"/>
          <w:lang w:val="es-AR"/>
        </w:rPr>
        <w:t>5</w:t>
      </w:r>
      <w:r w:rsidR="0070231A" w:rsidRPr="00507577">
        <w:rPr>
          <w:rFonts w:ascii="Times New Roman" w:hAnsi="Times New Roman" w:cs="Times New Roman"/>
          <w:bCs/>
          <w:spacing w:val="-3"/>
          <w:sz w:val="20"/>
          <w:szCs w:val="20"/>
          <w:lang w:val="es-AR"/>
        </w:rPr>
        <w:t xml:space="preserve"> </w:t>
      </w:r>
      <w:r w:rsidR="000C45B2" w:rsidRPr="00507577">
        <w:rPr>
          <w:rFonts w:ascii="Times New Roman" w:hAnsi="Times New Roman" w:cs="Times New Roman"/>
          <w:bCs/>
          <w:spacing w:val="-3"/>
          <w:sz w:val="20"/>
          <w:szCs w:val="20"/>
          <w:lang w:val="es-AR"/>
        </w:rPr>
        <w:t>(el “</w:t>
      </w:r>
      <w:r w:rsidR="000C45B2" w:rsidRPr="00507577">
        <w:rPr>
          <w:rFonts w:ascii="Times New Roman" w:hAnsi="Times New Roman" w:cs="Times New Roman"/>
          <w:bCs/>
          <w:spacing w:val="-3"/>
          <w:sz w:val="20"/>
          <w:szCs w:val="20"/>
          <w:u w:val="single"/>
          <w:lang w:val="es-AR"/>
        </w:rPr>
        <w:t>Prospecto</w:t>
      </w:r>
      <w:r w:rsidR="000C45B2" w:rsidRPr="00507577">
        <w:rPr>
          <w:rFonts w:ascii="Times New Roman" w:hAnsi="Times New Roman" w:cs="Times New Roman"/>
          <w:bCs/>
          <w:spacing w:val="-3"/>
          <w:sz w:val="20"/>
          <w:szCs w:val="20"/>
          <w:lang w:val="es-AR"/>
        </w:rPr>
        <w:t xml:space="preserve">”), el suplemento de </w:t>
      </w:r>
      <w:r w:rsidR="003E2207" w:rsidRPr="00507577">
        <w:rPr>
          <w:rFonts w:ascii="Times New Roman" w:hAnsi="Times New Roman" w:cs="Times New Roman"/>
          <w:bCs/>
          <w:spacing w:val="-3"/>
          <w:sz w:val="20"/>
          <w:szCs w:val="20"/>
          <w:lang w:val="es-AR"/>
        </w:rPr>
        <w:t xml:space="preserve">prospecto </w:t>
      </w:r>
      <w:r w:rsidR="00077A30" w:rsidRPr="00507577">
        <w:rPr>
          <w:rFonts w:ascii="Times New Roman" w:hAnsi="Times New Roman" w:cs="Times New Roman"/>
          <w:bCs/>
          <w:spacing w:val="-3"/>
          <w:sz w:val="20"/>
          <w:szCs w:val="20"/>
          <w:lang w:val="es-AR"/>
        </w:rPr>
        <w:t xml:space="preserve">correspondiente a las Obligaciones Negociables </w:t>
      </w:r>
      <w:r w:rsidR="000C45B2" w:rsidRPr="00507577">
        <w:rPr>
          <w:rFonts w:ascii="Times New Roman" w:hAnsi="Times New Roman" w:cs="Times New Roman"/>
          <w:bCs/>
          <w:spacing w:val="-3"/>
          <w:sz w:val="20"/>
          <w:szCs w:val="20"/>
          <w:lang w:val="es-AR"/>
        </w:rPr>
        <w:t xml:space="preserve">de </w:t>
      </w:r>
      <w:r w:rsidR="009B240C" w:rsidRPr="00507577">
        <w:rPr>
          <w:rFonts w:ascii="Times New Roman" w:hAnsi="Times New Roman" w:cs="Times New Roman"/>
          <w:bCs/>
          <w:spacing w:val="-3"/>
          <w:sz w:val="20"/>
          <w:szCs w:val="20"/>
          <w:lang w:val="es-AR"/>
        </w:rPr>
        <w:t xml:space="preserve">fecha </w:t>
      </w:r>
      <w:r w:rsidR="00364CCD">
        <w:rPr>
          <w:rFonts w:ascii="Times New Roman" w:hAnsi="Times New Roman" w:cs="Times New Roman"/>
          <w:bCs/>
          <w:spacing w:val="-3"/>
          <w:sz w:val="20"/>
          <w:szCs w:val="20"/>
          <w:lang w:val="es-AR"/>
        </w:rPr>
        <w:t>[___]</w:t>
      </w:r>
      <w:r w:rsidR="00364CCD">
        <w:rPr>
          <w:rStyle w:val="FootnoteReference"/>
          <w:rFonts w:ascii="Times New Roman" w:hAnsi="Times New Roman" w:cs="Times New Roman"/>
          <w:bCs/>
          <w:spacing w:val="-3"/>
          <w:sz w:val="20"/>
          <w:szCs w:val="20"/>
          <w:lang w:val="es-AR"/>
        </w:rPr>
        <w:footnoteReference w:id="1"/>
      </w:r>
      <w:r w:rsidR="00970E54">
        <w:rPr>
          <w:rFonts w:ascii="Times New Roman" w:hAnsi="Times New Roman" w:cs="Times New Roman"/>
          <w:bCs/>
          <w:spacing w:val="-3"/>
          <w:sz w:val="20"/>
          <w:szCs w:val="20"/>
          <w:lang w:val="es-AR"/>
        </w:rPr>
        <w:t xml:space="preserve"> </w:t>
      </w:r>
      <w:r w:rsidR="00077A30" w:rsidRPr="00507577">
        <w:rPr>
          <w:rFonts w:ascii="Times New Roman" w:hAnsi="Times New Roman" w:cs="Times New Roman"/>
          <w:bCs/>
          <w:spacing w:val="-3"/>
          <w:sz w:val="20"/>
          <w:szCs w:val="20"/>
          <w:lang w:val="es-AR"/>
        </w:rPr>
        <w:t>(el “</w:t>
      </w:r>
      <w:r w:rsidR="00077A30" w:rsidRPr="00507577">
        <w:rPr>
          <w:rFonts w:ascii="Times New Roman" w:hAnsi="Times New Roman" w:cs="Times New Roman"/>
          <w:bCs/>
          <w:spacing w:val="-3"/>
          <w:sz w:val="20"/>
          <w:szCs w:val="20"/>
          <w:u w:val="single"/>
          <w:lang w:val="es-AR"/>
        </w:rPr>
        <w:t xml:space="preserve">Suplemento de </w:t>
      </w:r>
      <w:r w:rsidR="003E2207" w:rsidRPr="00507577">
        <w:rPr>
          <w:rFonts w:ascii="Times New Roman" w:hAnsi="Times New Roman" w:cs="Times New Roman"/>
          <w:bCs/>
          <w:spacing w:val="-3"/>
          <w:sz w:val="20"/>
          <w:szCs w:val="20"/>
          <w:u w:val="single"/>
          <w:lang w:val="es-AR"/>
        </w:rPr>
        <w:t>Prospecto</w:t>
      </w:r>
      <w:r w:rsidR="00077A30" w:rsidRPr="00507577">
        <w:rPr>
          <w:rFonts w:ascii="Times New Roman" w:hAnsi="Times New Roman" w:cs="Times New Roman"/>
          <w:bCs/>
          <w:spacing w:val="-3"/>
          <w:sz w:val="20"/>
          <w:szCs w:val="20"/>
          <w:lang w:val="es-AR"/>
        </w:rPr>
        <w:t>” y juntamente con el Prospecto, los “</w:t>
      </w:r>
      <w:r w:rsidR="00077A30" w:rsidRPr="00507577">
        <w:rPr>
          <w:rFonts w:ascii="Times New Roman" w:hAnsi="Times New Roman" w:cs="Times New Roman"/>
          <w:bCs/>
          <w:spacing w:val="-3"/>
          <w:sz w:val="20"/>
          <w:szCs w:val="20"/>
          <w:u w:val="single"/>
          <w:lang w:val="es-AR"/>
        </w:rPr>
        <w:t>Documentos de la Oferta</w:t>
      </w:r>
      <w:r w:rsidR="00077A30" w:rsidRPr="00507577">
        <w:rPr>
          <w:rFonts w:ascii="Times New Roman" w:hAnsi="Times New Roman" w:cs="Times New Roman"/>
          <w:bCs/>
          <w:spacing w:val="-3"/>
          <w:sz w:val="20"/>
          <w:szCs w:val="20"/>
          <w:lang w:val="es-AR"/>
        </w:rPr>
        <w:t xml:space="preserve">”), ambos </w:t>
      </w:r>
      <w:r w:rsidR="000C45B2" w:rsidRPr="00507577">
        <w:rPr>
          <w:rFonts w:ascii="Times New Roman" w:hAnsi="Times New Roman" w:cs="Times New Roman"/>
          <w:bCs/>
          <w:spacing w:val="-3"/>
          <w:sz w:val="20"/>
          <w:szCs w:val="20"/>
          <w:lang w:val="es-AR"/>
        </w:rPr>
        <w:t>publicado</w:t>
      </w:r>
      <w:r w:rsidR="00077A30" w:rsidRPr="00507577">
        <w:rPr>
          <w:rFonts w:ascii="Times New Roman" w:hAnsi="Times New Roman" w:cs="Times New Roman"/>
          <w:bCs/>
          <w:spacing w:val="-3"/>
          <w:sz w:val="20"/>
          <w:szCs w:val="20"/>
          <w:lang w:val="es-AR"/>
        </w:rPr>
        <w:t>s</w:t>
      </w:r>
      <w:r w:rsidR="000C45B2" w:rsidRPr="00507577">
        <w:rPr>
          <w:rFonts w:ascii="Times New Roman" w:hAnsi="Times New Roman" w:cs="Times New Roman"/>
          <w:bCs/>
          <w:spacing w:val="-3"/>
          <w:sz w:val="20"/>
          <w:szCs w:val="20"/>
          <w:lang w:val="es-AR"/>
        </w:rPr>
        <w:t xml:space="preserve"> en </w:t>
      </w:r>
      <w:r w:rsidR="006570AB" w:rsidRPr="00507577">
        <w:rPr>
          <w:rFonts w:ascii="Times New Roman" w:hAnsi="Times New Roman" w:cs="Times New Roman"/>
          <w:bCs/>
          <w:spacing w:val="-3"/>
          <w:sz w:val="20"/>
          <w:szCs w:val="20"/>
          <w:lang w:val="es-AR"/>
        </w:rPr>
        <w:t>Bolsas y Mercados Argentinos S.A.</w:t>
      </w:r>
      <w:r w:rsidR="00077A30" w:rsidRPr="00507577">
        <w:rPr>
          <w:rFonts w:ascii="Times New Roman" w:hAnsi="Times New Roman" w:cs="Times New Roman"/>
          <w:bCs/>
          <w:spacing w:val="-3"/>
          <w:sz w:val="20"/>
          <w:szCs w:val="20"/>
          <w:lang w:val="es-AR"/>
        </w:rPr>
        <w:t xml:space="preserve"> (“</w:t>
      </w:r>
      <w:r w:rsidR="006570AB" w:rsidRPr="00507577">
        <w:rPr>
          <w:rFonts w:ascii="Times New Roman" w:hAnsi="Times New Roman" w:cs="Times New Roman"/>
          <w:bCs/>
          <w:spacing w:val="-3"/>
          <w:sz w:val="20"/>
          <w:szCs w:val="20"/>
          <w:u w:val="single"/>
          <w:lang w:val="es-AR"/>
        </w:rPr>
        <w:t>BYMA</w:t>
      </w:r>
      <w:r w:rsidR="00077A30" w:rsidRPr="00507577">
        <w:rPr>
          <w:rFonts w:ascii="Times New Roman" w:hAnsi="Times New Roman" w:cs="Times New Roman"/>
          <w:bCs/>
          <w:spacing w:val="-3"/>
          <w:sz w:val="20"/>
          <w:szCs w:val="20"/>
          <w:lang w:val="es-AR"/>
        </w:rPr>
        <w:t xml:space="preserve">”), a través del </w:t>
      </w:r>
      <w:r w:rsidR="000C45B2" w:rsidRPr="00507577">
        <w:rPr>
          <w:rFonts w:ascii="Times New Roman" w:hAnsi="Times New Roman" w:cs="Times New Roman"/>
          <w:bCs/>
          <w:spacing w:val="-3"/>
          <w:sz w:val="20"/>
          <w:szCs w:val="20"/>
          <w:lang w:val="es-AR"/>
        </w:rPr>
        <w:t xml:space="preserve">Boletín Diario </w:t>
      </w:r>
      <w:r w:rsidR="00496A29" w:rsidRPr="00507577">
        <w:rPr>
          <w:rFonts w:ascii="Times New Roman" w:hAnsi="Times New Roman" w:cs="Times New Roman"/>
          <w:bCs/>
          <w:spacing w:val="-3"/>
          <w:sz w:val="20"/>
          <w:szCs w:val="20"/>
          <w:lang w:val="es-AR"/>
        </w:rPr>
        <w:t xml:space="preserve">de la </w:t>
      </w:r>
      <w:r w:rsidR="00077A30" w:rsidRPr="00507577">
        <w:rPr>
          <w:rFonts w:ascii="Times New Roman" w:hAnsi="Times New Roman" w:cs="Times New Roman"/>
          <w:bCs/>
          <w:spacing w:val="-3"/>
          <w:sz w:val="20"/>
          <w:szCs w:val="20"/>
          <w:lang w:val="es-AR"/>
        </w:rPr>
        <w:t>Bolsa de Comercio de Buenos Aires (la “</w:t>
      </w:r>
      <w:r w:rsidR="00CF3ECD" w:rsidRPr="00507577">
        <w:rPr>
          <w:rFonts w:ascii="Times New Roman" w:hAnsi="Times New Roman" w:cs="Times New Roman"/>
          <w:bCs/>
          <w:spacing w:val="-3"/>
          <w:sz w:val="20"/>
          <w:szCs w:val="20"/>
          <w:u w:val="single"/>
          <w:lang w:val="es-AR"/>
        </w:rPr>
        <w:t>BCBA</w:t>
      </w:r>
      <w:r w:rsidR="00077A30" w:rsidRPr="00507577">
        <w:rPr>
          <w:rFonts w:ascii="Times New Roman" w:hAnsi="Times New Roman" w:cs="Times New Roman"/>
          <w:bCs/>
          <w:spacing w:val="-3"/>
          <w:sz w:val="20"/>
          <w:szCs w:val="20"/>
          <w:lang w:val="es-AR"/>
        </w:rPr>
        <w:t>”)</w:t>
      </w:r>
      <w:r w:rsidR="00C05F36" w:rsidRPr="00507577">
        <w:rPr>
          <w:rFonts w:ascii="Times New Roman" w:hAnsi="Times New Roman" w:cs="Times New Roman"/>
          <w:bCs/>
          <w:spacing w:val="-3"/>
          <w:sz w:val="20"/>
          <w:szCs w:val="20"/>
          <w:lang w:val="es-AR"/>
        </w:rPr>
        <w:t xml:space="preserve">, </w:t>
      </w:r>
      <w:r w:rsidR="00814AD8" w:rsidRPr="00507577">
        <w:rPr>
          <w:rFonts w:ascii="Times New Roman" w:hAnsi="Times New Roman" w:cs="Times New Roman"/>
          <w:sz w:val="20"/>
          <w:szCs w:val="20"/>
          <w:lang w:val="es-AR"/>
        </w:rPr>
        <w:t xml:space="preserve">pudiendo </w:t>
      </w:r>
      <w:r w:rsidR="00496A29" w:rsidRPr="00507577">
        <w:rPr>
          <w:rFonts w:ascii="Times New Roman" w:hAnsi="Times New Roman" w:cs="Times New Roman"/>
          <w:sz w:val="20"/>
          <w:szCs w:val="20"/>
          <w:lang w:val="es-AR"/>
        </w:rPr>
        <w:t xml:space="preserve">dichos </w:t>
      </w:r>
      <w:r w:rsidR="00814AD8" w:rsidRPr="00507577">
        <w:rPr>
          <w:rFonts w:ascii="Times New Roman" w:hAnsi="Times New Roman" w:cs="Times New Roman"/>
          <w:sz w:val="20"/>
          <w:szCs w:val="20"/>
          <w:lang w:val="es-AR"/>
        </w:rPr>
        <w:t>documentos también ser encontrados en la Autopista de Información Financiera (la “</w:t>
      </w:r>
      <w:r w:rsidR="00814AD8" w:rsidRPr="00507577">
        <w:rPr>
          <w:rFonts w:ascii="Times New Roman" w:hAnsi="Times New Roman" w:cs="Times New Roman"/>
          <w:sz w:val="20"/>
          <w:szCs w:val="20"/>
          <w:u w:val="single"/>
          <w:lang w:val="es-AR"/>
        </w:rPr>
        <w:t>AIF</w:t>
      </w:r>
      <w:r w:rsidR="00814AD8" w:rsidRPr="00507577">
        <w:rPr>
          <w:rFonts w:ascii="Times New Roman" w:hAnsi="Times New Roman" w:cs="Times New Roman"/>
          <w:sz w:val="20"/>
          <w:szCs w:val="20"/>
          <w:lang w:val="es-AR"/>
        </w:rPr>
        <w:t>”) de la CNV</w:t>
      </w:r>
      <w:r w:rsidR="00CF3ECD" w:rsidRPr="00507577">
        <w:rPr>
          <w:rFonts w:ascii="Times New Roman" w:hAnsi="Times New Roman" w:cs="Times New Roman"/>
          <w:sz w:val="20"/>
          <w:szCs w:val="20"/>
          <w:lang w:val="es-AR"/>
        </w:rPr>
        <w:t>,</w:t>
      </w:r>
      <w:r w:rsidR="00814AD8" w:rsidRPr="00507577">
        <w:rPr>
          <w:rFonts w:ascii="Times New Roman" w:hAnsi="Times New Roman" w:cs="Times New Roman"/>
          <w:sz w:val="20"/>
          <w:szCs w:val="20"/>
          <w:lang w:val="es-AR"/>
        </w:rPr>
        <w:t xml:space="preserve"> en el micrositio web </w:t>
      </w:r>
      <w:r w:rsidR="0070231A">
        <w:rPr>
          <w:rFonts w:ascii="Times New Roman" w:hAnsi="Times New Roman" w:cs="Times New Roman"/>
          <w:sz w:val="20"/>
          <w:szCs w:val="20"/>
          <w:lang w:val="es-AR"/>
        </w:rPr>
        <w:t>de licitaciones primarias de A3 Mercados S.A.</w:t>
      </w:r>
      <w:r w:rsidR="00814AD8" w:rsidRPr="00507577">
        <w:rPr>
          <w:rFonts w:ascii="Times New Roman" w:hAnsi="Times New Roman" w:cs="Times New Roman"/>
          <w:sz w:val="20"/>
          <w:szCs w:val="20"/>
          <w:lang w:val="es-AR"/>
        </w:rPr>
        <w:t xml:space="preserve"> </w:t>
      </w:r>
      <w:r w:rsidR="00547714" w:rsidRPr="00507577">
        <w:rPr>
          <w:rFonts w:ascii="Times New Roman" w:hAnsi="Times New Roman" w:cs="Times New Roman"/>
          <w:sz w:val="20"/>
          <w:szCs w:val="20"/>
          <w:lang w:val="es-AR"/>
        </w:rPr>
        <w:t>(“</w:t>
      </w:r>
      <w:r w:rsidR="0070231A">
        <w:rPr>
          <w:rFonts w:ascii="Times New Roman" w:hAnsi="Times New Roman" w:cs="Times New Roman"/>
          <w:sz w:val="20"/>
          <w:szCs w:val="20"/>
          <w:u w:val="single"/>
          <w:lang w:val="es-AR"/>
        </w:rPr>
        <w:t>A3</w:t>
      </w:r>
      <w:r w:rsidR="00547714" w:rsidRPr="00507577">
        <w:rPr>
          <w:rFonts w:ascii="Times New Roman" w:hAnsi="Times New Roman" w:cs="Times New Roman"/>
          <w:sz w:val="20"/>
          <w:szCs w:val="20"/>
          <w:lang w:val="es-AR"/>
        </w:rPr>
        <w:t xml:space="preserve">”) </w:t>
      </w:r>
      <w:r w:rsidR="000702DE" w:rsidRPr="00507577">
        <w:rPr>
          <w:rFonts w:ascii="Times New Roman" w:hAnsi="Times New Roman" w:cs="Times New Roman"/>
          <w:sz w:val="20"/>
          <w:szCs w:val="20"/>
          <w:lang w:val="es-AR"/>
        </w:rPr>
        <w:t>(</w:t>
      </w:r>
      <w:hyperlink r:id="rId9" w:history="1">
        <w:r w:rsidR="00E1288A" w:rsidRPr="00507577">
          <w:rPr>
            <w:rStyle w:val="Hyperlink"/>
            <w:rFonts w:ascii="Times New Roman" w:hAnsi="Times New Roman" w:cs="Times New Roman"/>
            <w:bCs/>
            <w:sz w:val="20"/>
            <w:szCs w:val="20"/>
            <w:lang w:val="es-AR"/>
          </w:rPr>
          <w:t>https://marketdata.mae.com.ar/licitaciones</w:t>
        </w:r>
      </w:hyperlink>
      <w:r w:rsidR="000702DE" w:rsidRPr="00507577">
        <w:rPr>
          <w:rFonts w:ascii="Times New Roman" w:hAnsi="Times New Roman" w:cs="Times New Roman"/>
          <w:sz w:val="20"/>
          <w:szCs w:val="20"/>
          <w:lang w:val="es-AR"/>
        </w:rPr>
        <w:t xml:space="preserve">) </w:t>
      </w:r>
      <w:r w:rsidR="00CF3ECD" w:rsidRPr="00507577">
        <w:rPr>
          <w:rFonts w:ascii="Times New Roman" w:hAnsi="Times New Roman" w:cs="Times New Roman"/>
          <w:sz w:val="20"/>
          <w:szCs w:val="20"/>
          <w:lang w:val="es-AR"/>
        </w:rPr>
        <w:t>y en el sitio web institucional de BBVA</w:t>
      </w:r>
      <w:r w:rsidR="000D3276" w:rsidRPr="00507577">
        <w:rPr>
          <w:rFonts w:ascii="Times New Roman" w:hAnsi="Times New Roman" w:cs="Times New Roman"/>
          <w:sz w:val="20"/>
          <w:szCs w:val="20"/>
          <w:lang w:val="es-AR"/>
        </w:rPr>
        <w:t xml:space="preserve"> (todos ellos, los “</w:t>
      </w:r>
      <w:r w:rsidR="000D3276" w:rsidRPr="00507577">
        <w:rPr>
          <w:rFonts w:ascii="Times New Roman" w:hAnsi="Times New Roman" w:cs="Times New Roman"/>
          <w:sz w:val="20"/>
          <w:szCs w:val="20"/>
          <w:u w:val="single"/>
          <w:lang w:val="es-AR"/>
        </w:rPr>
        <w:t>Sistemas Informativos</w:t>
      </w:r>
      <w:r w:rsidR="000D3276" w:rsidRPr="00507577">
        <w:rPr>
          <w:rFonts w:ascii="Times New Roman" w:hAnsi="Times New Roman" w:cs="Times New Roman"/>
          <w:sz w:val="20"/>
          <w:szCs w:val="20"/>
          <w:lang w:val="es-AR"/>
        </w:rPr>
        <w:t>”)</w:t>
      </w:r>
      <w:r w:rsidR="00480434" w:rsidRPr="00507577">
        <w:rPr>
          <w:rFonts w:ascii="Times New Roman" w:hAnsi="Times New Roman" w:cs="Times New Roman"/>
          <w:bCs/>
          <w:spacing w:val="-3"/>
          <w:sz w:val="20"/>
          <w:szCs w:val="20"/>
          <w:lang w:val="es-AR"/>
        </w:rPr>
        <w:t>. Todos los términos en mayúscula que no estén definidos en el presente</w:t>
      </w:r>
      <w:r w:rsidR="00DE1669">
        <w:rPr>
          <w:rFonts w:ascii="Times New Roman" w:hAnsi="Times New Roman" w:cs="Times New Roman"/>
          <w:bCs/>
          <w:spacing w:val="-3"/>
          <w:sz w:val="20"/>
          <w:szCs w:val="20"/>
          <w:lang w:val="es-AR"/>
        </w:rPr>
        <w:t xml:space="preserve"> Aviso de Suscripción</w:t>
      </w:r>
      <w:r w:rsidR="00480434" w:rsidRPr="00507577">
        <w:rPr>
          <w:rFonts w:ascii="Times New Roman" w:hAnsi="Times New Roman" w:cs="Times New Roman"/>
          <w:bCs/>
          <w:spacing w:val="-3"/>
          <w:sz w:val="20"/>
          <w:szCs w:val="20"/>
          <w:lang w:val="es-AR"/>
        </w:rPr>
        <w:t xml:space="preserve">, tienen el significado que a ellos se les asigna en </w:t>
      </w:r>
      <w:r w:rsidR="000C45B2" w:rsidRPr="00507577">
        <w:rPr>
          <w:rFonts w:ascii="Times New Roman" w:hAnsi="Times New Roman" w:cs="Times New Roman"/>
          <w:bCs/>
          <w:spacing w:val="-3"/>
          <w:sz w:val="20"/>
          <w:szCs w:val="20"/>
          <w:lang w:val="es-AR"/>
        </w:rPr>
        <w:t>los Documentos de la Oferta</w:t>
      </w:r>
      <w:r w:rsidR="00480434" w:rsidRPr="00507577">
        <w:rPr>
          <w:rFonts w:ascii="Times New Roman" w:hAnsi="Times New Roman" w:cs="Times New Roman"/>
          <w:bCs/>
          <w:spacing w:val="-3"/>
          <w:sz w:val="20"/>
          <w:szCs w:val="20"/>
          <w:lang w:val="es-AR"/>
        </w:rPr>
        <w:t>.</w:t>
      </w:r>
    </w:p>
    <w:p w14:paraId="14F64317" w14:textId="40543018" w:rsidR="007A60FD" w:rsidRPr="00507577" w:rsidRDefault="00E1288A" w:rsidP="003317D9">
      <w:pPr>
        <w:pStyle w:val="Default"/>
        <w:spacing w:before="120"/>
        <w:ind w:left="-567" w:right="-660"/>
        <w:jc w:val="both"/>
        <w:rPr>
          <w:rFonts w:ascii="Times New Roman" w:hAnsi="Times New Roman" w:cs="Times New Roman"/>
          <w:bCs/>
          <w:spacing w:val="-3"/>
          <w:sz w:val="20"/>
          <w:szCs w:val="20"/>
          <w:lang w:val="es-AR"/>
        </w:rPr>
      </w:pPr>
      <w:r w:rsidRPr="00507577">
        <w:rPr>
          <w:rFonts w:ascii="Times New Roman" w:hAnsi="Times New Roman" w:cs="Times New Roman"/>
          <w:bCs/>
          <w:spacing w:val="-3"/>
          <w:sz w:val="20"/>
          <w:szCs w:val="20"/>
        </w:rPr>
        <w:t>A continuación, se detallan los principales términos y condiciones de las Obligaciones Negociables:</w:t>
      </w:r>
      <w:r w:rsidR="007A60FD" w:rsidRPr="00507577">
        <w:rPr>
          <w:rFonts w:ascii="Times New Roman" w:hAnsi="Times New Roman" w:cs="Times New Roman"/>
          <w:bCs/>
          <w:spacing w:val="-3"/>
          <w:sz w:val="20"/>
          <w:szCs w:val="20"/>
          <w:lang w:val="es-AR"/>
        </w:rPr>
        <w:t xml:space="preserve"> </w:t>
      </w:r>
    </w:p>
    <w:p w14:paraId="61D6E16D" w14:textId="77777777" w:rsidR="00364CCD" w:rsidRPr="00507577" w:rsidRDefault="00364CCD" w:rsidP="00364CCD">
      <w:pPr>
        <w:pStyle w:val="DPWWriterInfo"/>
        <w:numPr>
          <w:ilvl w:val="0"/>
          <w:numId w:val="3"/>
        </w:numPr>
        <w:tabs>
          <w:tab w:val="clear" w:pos="720"/>
          <w:tab w:val="num" w:pos="0"/>
        </w:tabs>
        <w:spacing w:before="120" w:after="0"/>
        <w:ind w:left="-567" w:right="-660" w:firstLine="0"/>
        <w:jc w:val="both"/>
        <w:rPr>
          <w:rFonts w:ascii="Times New Roman" w:hAnsi="Times New Roman"/>
          <w:b/>
          <w:bCs/>
          <w:sz w:val="20"/>
          <w:u w:val="single"/>
          <w:lang w:val="es-AR"/>
        </w:rPr>
      </w:pPr>
      <w:bookmarkStart w:id="1" w:name="_DV_M16"/>
      <w:bookmarkEnd w:id="1"/>
      <w:r w:rsidRPr="00507577">
        <w:rPr>
          <w:rFonts w:ascii="Times New Roman" w:hAnsi="Times New Roman"/>
          <w:b/>
          <w:bCs/>
          <w:sz w:val="20"/>
          <w:u w:val="single"/>
          <w:lang w:val="es-AR"/>
        </w:rPr>
        <w:t>Emisor</w:t>
      </w:r>
      <w:r w:rsidRPr="00507577">
        <w:rPr>
          <w:rFonts w:ascii="Times New Roman" w:hAnsi="Times New Roman"/>
          <w:bCs/>
          <w:sz w:val="20"/>
          <w:lang w:val="es-AR"/>
        </w:rPr>
        <w:t xml:space="preserve">: </w:t>
      </w:r>
      <w:r w:rsidRPr="00652C51">
        <w:rPr>
          <w:rFonts w:ascii="Times New Roman" w:hAnsi="Times New Roman"/>
          <w:b/>
          <w:sz w:val="20"/>
          <w:lang w:val="es-AR"/>
        </w:rPr>
        <w:t>Banco BBVA Argentina S.A.</w:t>
      </w:r>
      <w:r w:rsidRPr="00507577">
        <w:rPr>
          <w:rFonts w:ascii="Times New Roman" w:hAnsi="Times New Roman"/>
          <w:bCs/>
          <w:sz w:val="20"/>
          <w:lang w:val="es-AR"/>
        </w:rPr>
        <w:t xml:space="preserve">, con domicilio sito en Avda. Córdoba 111, Piso 26° (C1054AAA), Ciudad Autónoma de Buenos Aires, República Argentina (Atención: Ricardo Rodríguez Marengo, Rosario Garat, Teléfono: (+54 11) 4346-4278 / 4346-4276, E-mail: </w:t>
      </w:r>
      <w:hyperlink r:id="rId10" w:history="1">
        <w:r w:rsidRPr="00507577">
          <w:rPr>
            <w:rStyle w:val="Hyperlink"/>
            <w:rFonts w:ascii="Times New Roman" w:hAnsi="Times New Roman"/>
            <w:bCs/>
            <w:sz w:val="20"/>
            <w:lang w:val="es-AR"/>
          </w:rPr>
          <w:t>mesa-investors-arg.group@bbva.com)</w:t>
        </w:r>
      </w:hyperlink>
      <w:r w:rsidRPr="00507577">
        <w:rPr>
          <w:rFonts w:ascii="Times New Roman" w:hAnsi="Times New Roman"/>
          <w:bCs/>
          <w:sz w:val="20"/>
          <w:lang w:val="es-AR"/>
        </w:rPr>
        <w:t>.</w:t>
      </w:r>
    </w:p>
    <w:p w14:paraId="46788573" w14:textId="64CD7AB7" w:rsidR="007A60FD" w:rsidRPr="00507577" w:rsidRDefault="00364CCD" w:rsidP="00364CCD">
      <w:pPr>
        <w:pStyle w:val="DPWWriterInfo"/>
        <w:numPr>
          <w:ilvl w:val="0"/>
          <w:numId w:val="3"/>
        </w:numPr>
        <w:tabs>
          <w:tab w:val="clear" w:pos="720"/>
          <w:tab w:val="num" w:pos="0"/>
        </w:tabs>
        <w:spacing w:before="120" w:after="0"/>
        <w:ind w:left="-567" w:right="-660" w:firstLine="0"/>
        <w:jc w:val="both"/>
        <w:rPr>
          <w:rFonts w:ascii="Times New Roman" w:hAnsi="Times New Roman"/>
          <w:b/>
          <w:bCs/>
          <w:sz w:val="20"/>
          <w:u w:val="single"/>
          <w:lang w:val="es-AR"/>
        </w:rPr>
      </w:pPr>
      <w:r w:rsidRPr="00507577">
        <w:rPr>
          <w:rFonts w:ascii="Times New Roman" w:hAnsi="Times New Roman"/>
          <w:b/>
          <w:bCs/>
          <w:sz w:val="20"/>
          <w:u w:val="single"/>
          <w:lang w:val="es-AR"/>
        </w:rPr>
        <w:t>Colocadores</w:t>
      </w:r>
      <w:r w:rsidRPr="00507577">
        <w:rPr>
          <w:rFonts w:ascii="Times New Roman" w:hAnsi="Times New Roman"/>
          <w:sz w:val="20"/>
          <w:lang w:val="es-AR"/>
        </w:rPr>
        <w:t xml:space="preserve">: </w:t>
      </w:r>
      <w:r w:rsidRPr="00652C51">
        <w:rPr>
          <w:rFonts w:ascii="Times New Roman" w:hAnsi="Times New Roman"/>
          <w:b/>
          <w:bCs/>
          <w:sz w:val="20"/>
          <w:lang w:val="es-AR"/>
        </w:rPr>
        <w:t>Banco BBVA Argentina S.A.</w:t>
      </w:r>
      <w:r>
        <w:rPr>
          <w:rFonts w:ascii="Times New Roman" w:hAnsi="Times New Roman"/>
          <w:sz w:val="20"/>
          <w:lang w:val="es-AR"/>
        </w:rPr>
        <w:t xml:space="preserve">, </w:t>
      </w:r>
      <w:r w:rsidRPr="00507577">
        <w:rPr>
          <w:rFonts w:ascii="Times New Roman" w:hAnsi="Times New Roman"/>
          <w:sz w:val="20"/>
          <w:lang w:val="es-AR"/>
        </w:rPr>
        <w:t xml:space="preserve">y </w:t>
      </w:r>
      <w:r w:rsidR="00335EB6">
        <w:rPr>
          <w:rFonts w:ascii="Times New Roman" w:hAnsi="Times New Roman"/>
          <w:sz w:val="20"/>
          <w:lang w:val="es-AR"/>
        </w:rPr>
        <w:t>[</w:t>
      </w:r>
      <w:r w:rsidR="00335EB6" w:rsidRPr="00652C51">
        <w:rPr>
          <w:rFonts w:ascii="Times New Roman" w:hAnsi="Times New Roman"/>
          <w:b/>
          <w:bCs/>
          <w:sz w:val="20"/>
          <w:lang w:val="es-AR"/>
        </w:rPr>
        <w:t>Allaria S.A.</w:t>
      </w:r>
      <w:r w:rsidR="00335EB6">
        <w:rPr>
          <w:rFonts w:ascii="Times New Roman" w:hAnsi="Times New Roman"/>
          <w:sz w:val="20"/>
          <w:lang w:val="es-AR"/>
        </w:rPr>
        <w:t xml:space="preserve"> </w:t>
      </w:r>
      <w:r w:rsidR="00335EB6" w:rsidRPr="00FA3917">
        <w:rPr>
          <w:rFonts w:ascii="Times New Roman" w:hAnsi="Times New Roman"/>
          <w:sz w:val="20"/>
          <w:lang w:val="es-AR"/>
        </w:rPr>
        <w:t>con domicilio en 25 de Mayo 359, Piso 12, Ciudad Autónoma de Buenos Aires, República Argentina (Atención: Matías Aizpeolea</w:t>
      </w:r>
      <w:r w:rsidR="00335EB6">
        <w:rPr>
          <w:rFonts w:ascii="Times New Roman" w:hAnsi="Times New Roman"/>
          <w:sz w:val="20"/>
          <w:lang w:val="es-AR"/>
        </w:rPr>
        <w:t xml:space="preserve"> / </w:t>
      </w:r>
      <w:r w:rsidR="00335EB6" w:rsidRPr="00850941">
        <w:rPr>
          <w:rFonts w:ascii="Times New Roman" w:hAnsi="Times New Roman"/>
          <w:sz w:val="20"/>
          <w:lang w:val="es-AR"/>
        </w:rPr>
        <w:t>Stephanie Galera</w:t>
      </w:r>
      <w:r w:rsidR="00335EB6" w:rsidRPr="00FA3917">
        <w:rPr>
          <w:rFonts w:ascii="Times New Roman" w:hAnsi="Times New Roman"/>
          <w:sz w:val="20"/>
          <w:lang w:val="es-AR"/>
        </w:rPr>
        <w:t>, Teléfono</w:t>
      </w:r>
      <w:r w:rsidR="00335EB6">
        <w:rPr>
          <w:rFonts w:ascii="Times New Roman" w:hAnsi="Times New Roman"/>
          <w:sz w:val="20"/>
          <w:lang w:val="es-AR"/>
        </w:rPr>
        <w:t>:</w:t>
      </w:r>
      <w:r w:rsidR="00335EB6" w:rsidRPr="00FA3917">
        <w:rPr>
          <w:rFonts w:ascii="Times New Roman" w:hAnsi="Times New Roman"/>
          <w:sz w:val="20"/>
          <w:lang w:val="es-AR"/>
        </w:rPr>
        <w:t xml:space="preserve"> </w:t>
      </w:r>
      <w:r w:rsidR="00335EB6">
        <w:rPr>
          <w:rFonts w:ascii="Times New Roman" w:hAnsi="Times New Roman"/>
          <w:sz w:val="20"/>
          <w:lang w:val="es-AR"/>
        </w:rPr>
        <w:t xml:space="preserve">(011) </w:t>
      </w:r>
      <w:r w:rsidR="00335EB6" w:rsidRPr="00FA3917">
        <w:rPr>
          <w:rFonts w:ascii="Times New Roman" w:hAnsi="Times New Roman"/>
          <w:sz w:val="20"/>
          <w:lang w:val="es-AR"/>
        </w:rPr>
        <w:t xml:space="preserve">5555-6000, E-mail: </w:t>
      </w:r>
      <w:hyperlink r:id="rId11" w:history="1">
        <w:r w:rsidR="00335EB6" w:rsidRPr="006A04C0">
          <w:rPr>
            <w:rStyle w:val="Hyperlink"/>
            <w:rFonts w:ascii="Times New Roman" w:hAnsi="Times New Roman"/>
            <w:sz w:val="20"/>
            <w:lang w:val="es-AR"/>
          </w:rPr>
          <w:t>emisionesprimarias@allaria.com.ar</w:t>
        </w:r>
      </w:hyperlink>
      <w:r w:rsidR="00335EB6" w:rsidRPr="00FA3917">
        <w:rPr>
          <w:rFonts w:ascii="Times New Roman" w:hAnsi="Times New Roman"/>
          <w:sz w:val="20"/>
          <w:lang w:val="es-AR"/>
        </w:rPr>
        <w:t xml:space="preserve">), </w:t>
      </w:r>
      <w:proofErr w:type="spellStart"/>
      <w:r w:rsidR="00335EB6" w:rsidRPr="00652C51">
        <w:rPr>
          <w:rFonts w:ascii="Times New Roman" w:hAnsi="Times New Roman"/>
          <w:b/>
          <w:bCs/>
          <w:sz w:val="20"/>
          <w:lang w:val="es-AR"/>
        </w:rPr>
        <w:t>Balanz</w:t>
      </w:r>
      <w:proofErr w:type="spellEnd"/>
      <w:r w:rsidR="00335EB6" w:rsidRPr="00652C51">
        <w:rPr>
          <w:rFonts w:ascii="Times New Roman" w:hAnsi="Times New Roman"/>
          <w:b/>
          <w:bCs/>
          <w:sz w:val="20"/>
          <w:lang w:val="es-AR"/>
        </w:rPr>
        <w:t xml:space="preserve"> Capital Valores S.A.U.</w:t>
      </w:r>
      <w:r w:rsidR="00335EB6" w:rsidRPr="00FA3917">
        <w:rPr>
          <w:rFonts w:ascii="Times New Roman" w:hAnsi="Times New Roman"/>
          <w:sz w:val="20"/>
          <w:lang w:val="es-AR"/>
        </w:rPr>
        <w:t xml:space="preserve"> con domicilio en Av. Corrientes 316, Piso 3°, </w:t>
      </w:r>
      <w:proofErr w:type="spellStart"/>
      <w:r w:rsidR="00335EB6" w:rsidRPr="00FA3917">
        <w:rPr>
          <w:rFonts w:ascii="Times New Roman" w:hAnsi="Times New Roman"/>
          <w:sz w:val="20"/>
          <w:lang w:val="es-AR"/>
        </w:rPr>
        <w:t>of</w:t>
      </w:r>
      <w:proofErr w:type="spellEnd"/>
      <w:r w:rsidR="00335EB6" w:rsidRPr="00FA3917">
        <w:rPr>
          <w:rFonts w:ascii="Times New Roman" w:hAnsi="Times New Roman"/>
          <w:sz w:val="20"/>
          <w:lang w:val="es-AR"/>
        </w:rPr>
        <w:t>. 362, Ciudad Autónoma de Buenos Aires, República Argentina (Atención: Juan Barros Moss / Santiago Giambruni/ Ignacio Campelo</w:t>
      </w:r>
      <w:r w:rsidR="00335EB6">
        <w:rPr>
          <w:rFonts w:ascii="Times New Roman" w:hAnsi="Times New Roman"/>
          <w:sz w:val="20"/>
          <w:lang w:val="es-AR"/>
        </w:rPr>
        <w:t>,</w:t>
      </w:r>
      <w:r w:rsidR="00335EB6" w:rsidRPr="00FA3917">
        <w:rPr>
          <w:rFonts w:ascii="Times New Roman" w:hAnsi="Times New Roman"/>
          <w:sz w:val="20"/>
          <w:lang w:val="es-AR"/>
        </w:rPr>
        <w:t xml:space="preserve"> Teléfono: 5276-7010</w:t>
      </w:r>
      <w:r w:rsidR="00335EB6">
        <w:rPr>
          <w:rFonts w:ascii="Times New Roman" w:hAnsi="Times New Roman"/>
          <w:sz w:val="20"/>
          <w:lang w:val="es-AR"/>
        </w:rPr>
        <w:t>,</w:t>
      </w:r>
      <w:r w:rsidR="00335EB6" w:rsidRPr="00FA3917">
        <w:rPr>
          <w:rFonts w:ascii="Times New Roman" w:hAnsi="Times New Roman"/>
          <w:sz w:val="20"/>
          <w:lang w:val="es-AR"/>
        </w:rPr>
        <w:t xml:space="preserve"> E-mail: </w:t>
      </w:r>
      <w:hyperlink r:id="rId12" w:history="1">
        <w:r w:rsidR="00335EB6" w:rsidRPr="006A04C0">
          <w:rPr>
            <w:rStyle w:val="Hyperlink"/>
            <w:rFonts w:ascii="Times New Roman" w:hAnsi="Times New Roman"/>
            <w:sz w:val="20"/>
            <w:lang w:val="es-AR"/>
          </w:rPr>
          <w:t>ib@balanz.com</w:t>
        </w:r>
      </w:hyperlink>
      <w:r w:rsidR="00335EB6" w:rsidRPr="00FA3917">
        <w:rPr>
          <w:rFonts w:ascii="Times New Roman" w:hAnsi="Times New Roman"/>
          <w:sz w:val="20"/>
          <w:lang w:val="es-AR"/>
        </w:rPr>
        <w:t xml:space="preserve">), </w:t>
      </w:r>
      <w:proofErr w:type="spellStart"/>
      <w:r w:rsidR="00335EB6" w:rsidRPr="0017621B">
        <w:rPr>
          <w:rFonts w:ascii="Times New Roman" w:hAnsi="Times New Roman"/>
          <w:b/>
          <w:bCs/>
          <w:sz w:val="20"/>
          <w:lang w:val="es-AR"/>
        </w:rPr>
        <w:t>Invertironline</w:t>
      </w:r>
      <w:proofErr w:type="spellEnd"/>
      <w:r w:rsidR="00335EB6" w:rsidRPr="0017621B">
        <w:rPr>
          <w:rFonts w:ascii="Times New Roman" w:hAnsi="Times New Roman"/>
          <w:b/>
          <w:bCs/>
          <w:sz w:val="20"/>
          <w:lang w:val="es-AR"/>
        </w:rPr>
        <w:t xml:space="preserve"> S.A.U.</w:t>
      </w:r>
      <w:r w:rsidR="00335EB6" w:rsidRPr="0017621B">
        <w:rPr>
          <w:rFonts w:ascii="Times New Roman" w:hAnsi="Times New Roman"/>
          <w:sz w:val="20"/>
          <w:lang w:val="es-AR"/>
        </w:rPr>
        <w:t>, con domicilio en</w:t>
      </w:r>
      <w:r w:rsidR="00335EB6" w:rsidRPr="0017621B">
        <w:rPr>
          <w:lang w:val="es-AR"/>
        </w:rPr>
        <w:t xml:space="preserve"> </w:t>
      </w:r>
      <w:r w:rsidR="00335EB6" w:rsidRPr="0017621B">
        <w:rPr>
          <w:rFonts w:ascii="Times New Roman" w:hAnsi="Times New Roman"/>
          <w:sz w:val="20"/>
          <w:lang w:val="es-AR"/>
        </w:rPr>
        <w:t xml:space="preserve">Humboldt 1550, Piso 2, Ciudad Autónoma de Buenos Aires, República Argentina, (Atención: Maximiliano Andrés Donzelli / Martín Marando, Teléfono: - , E-mail: </w:t>
      </w:r>
      <w:hyperlink r:id="rId13" w:history="1">
        <w:r w:rsidR="00335EB6" w:rsidRPr="0017621B">
          <w:rPr>
            <w:rStyle w:val="Hyperlink"/>
            <w:rFonts w:ascii="Times New Roman" w:hAnsi="Times New Roman"/>
            <w:sz w:val="20"/>
            <w:lang w:val="es-AR"/>
          </w:rPr>
          <w:t>mdonzelli@invertironline.com</w:t>
        </w:r>
      </w:hyperlink>
      <w:r w:rsidR="00335EB6" w:rsidRPr="0017621B">
        <w:rPr>
          <w:rFonts w:ascii="Times New Roman" w:hAnsi="Times New Roman"/>
          <w:sz w:val="20"/>
          <w:lang w:val="es-AR"/>
        </w:rPr>
        <w:t xml:space="preserve"> / </w:t>
      </w:r>
      <w:hyperlink r:id="rId14" w:history="1">
        <w:r w:rsidR="00335EB6" w:rsidRPr="0017621B">
          <w:rPr>
            <w:rStyle w:val="Hyperlink"/>
            <w:rFonts w:ascii="Times New Roman" w:hAnsi="Times New Roman"/>
            <w:sz w:val="20"/>
            <w:lang w:val="es-AR"/>
          </w:rPr>
          <w:t>mmarando@invertironline.com</w:t>
        </w:r>
      </w:hyperlink>
      <w:r w:rsidR="00335EB6" w:rsidRPr="0017621B">
        <w:rPr>
          <w:rFonts w:ascii="Times New Roman" w:hAnsi="Times New Roman"/>
          <w:sz w:val="20"/>
          <w:lang w:val="es-AR"/>
        </w:rPr>
        <w:t>)</w:t>
      </w:r>
      <w:r w:rsidR="00335EB6">
        <w:rPr>
          <w:rFonts w:ascii="Times New Roman" w:hAnsi="Times New Roman"/>
          <w:sz w:val="20"/>
          <w:lang w:val="es-AR"/>
        </w:rPr>
        <w:t>,</w:t>
      </w:r>
      <w:r w:rsidR="00335EB6" w:rsidRPr="00FA3917">
        <w:rPr>
          <w:rFonts w:ascii="Times New Roman" w:hAnsi="Times New Roman"/>
          <w:sz w:val="20"/>
          <w:lang w:val="es-AR"/>
        </w:rPr>
        <w:t xml:space="preserve"> </w:t>
      </w:r>
      <w:proofErr w:type="spellStart"/>
      <w:r w:rsidR="00335EB6" w:rsidRPr="00335EB6">
        <w:rPr>
          <w:rFonts w:ascii="Times New Roman" w:hAnsi="Times New Roman"/>
          <w:b/>
          <w:bCs/>
          <w:sz w:val="20"/>
          <w:lang w:val="es-AR"/>
        </w:rPr>
        <w:t>Latin</w:t>
      </w:r>
      <w:proofErr w:type="spellEnd"/>
      <w:r w:rsidR="00335EB6" w:rsidRPr="00335EB6">
        <w:rPr>
          <w:rFonts w:ascii="Times New Roman" w:hAnsi="Times New Roman"/>
          <w:b/>
          <w:bCs/>
          <w:sz w:val="20"/>
          <w:lang w:val="es-AR"/>
        </w:rPr>
        <w:t xml:space="preserve"> </w:t>
      </w:r>
      <w:proofErr w:type="spellStart"/>
      <w:r w:rsidR="00335EB6" w:rsidRPr="00335EB6">
        <w:rPr>
          <w:rFonts w:ascii="Times New Roman" w:hAnsi="Times New Roman"/>
          <w:b/>
          <w:bCs/>
          <w:sz w:val="20"/>
          <w:lang w:val="es-AR"/>
        </w:rPr>
        <w:t>Securities</w:t>
      </w:r>
      <w:proofErr w:type="spellEnd"/>
      <w:r w:rsidR="00335EB6" w:rsidRPr="00335EB6">
        <w:rPr>
          <w:rFonts w:ascii="Times New Roman" w:hAnsi="Times New Roman"/>
          <w:b/>
          <w:bCs/>
          <w:sz w:val="20"/>
          <w:lang w:val="es-AR"/>
        </w:rPr>
        <w:t xml:space="preserve"> S.A. </w:t>
      </w:r>
      <w:r w:rsidR="00335EB6" w:rsidRPr="00A36E7E">
        <w:rPr>
          <w:rFonts w:ascii="Times New Roman" w:hAnsi="Times New Roman"/>
          <w:sz w:val="20"/>
          <w:lang w:val="es-AR"/>
        </w:rPr>
        <w:t xml:space="preserve">con domicilio en Arenales 707, Piso 6° (C1061AAA), Ciudad Autónoma de Buenos Aires (Atención: Agustín Vilaseca, </w:t>
      </w:r>
      <w:r w:rsidR="00335EB6">
        <w:rPr>
          <w:rFonts w:ascii="Times New Roman" w:hAnsi="Times New Roman"/>
          <w:sz w:val="20"/>
          <w:lang w:val="es-AR"/>
        </w:rPr>
        <w:t>E</w:t>
      </w:r>
      <w:r w:rsidR="00335EB6" w:rsidRPr="0046623D">
        <w:rPr>
          <w:rFonts w:ascii="Times New Roman" w:hAnsi="Times New Roman"/>
          <w:sz w:val="20"/>
          <w:lang w:val="es-AR"/>
        </w:rPr>
        <w:t xml:space="preserve">-mail: </w:t>
      </w:r>
      <w:hyperlink r:id="rId15" w:history="1">
        <w:r w:rsidR="00335EB6" w:rsidRPr="00A25663">
          <w:rPr>
            <w:rStyle w:val="Hyperlink"/>
            <w:rFonts w:ascii="Times New Roman" w:hAnsi="Times New Roman"/>
            <w:sz w:val="20"/>
            <w:lang w:val="es-AR"/>
          </w:rPr>
          <w:t>agustin.vilaseca@latinsecurities.ar</w:t>
        </w:r>
      </w:hyperlink>
      <w:r w:rsidR="00335EB6">
        <w:rPr>
          <w:rFonts w:ascii="Times New Roman" w:hAnsi="Times New Roman"/>
          <w:sz w:val="20"/>
          <w:lang w:val="es-AR"/>
        </w:rPr>
        <w:t xml:space="preserve">, </w:t>
      </w:r>
      <w:r w:rsidR="00335EB6" w:rsidRPr="00A36E7E">
        <w:rPr>
          <w:rFonts w:ascii="Times New Roman" w:hAnsi="Times New Roman"/>
          <w:sz w:val="20"/>
          <w:lang w:val="es-AR"/>
        </w:rPr>
        <w:t>Teléfono: (+54 11) 4850-2500)</w:t>
      </w:r>
      <w:r w:rsidR="00335EB6">
        <w:rPr>
          <w:rFonts w:ascii="Times New Roman" w:hAnsi="Times New Roman"/>
          <w:sz w:val="20"/>
          <w:lang w:val="es-AR"/>
        </w:rPr>
        <w:t xml:space="preserve">, y </w:t>
      </w:r>
      <w:r w:rsidR="00335EB6" w:rsidRPr="00335EB6">
        <w:rPr>
          <w:rFonts w:ascii="Times New Roman" w:hAnsi="Times New Roman"/>
          <w:b/>
          <w:bCs/>
          <w:sz w:val="20"/>
          <w:lang w:val="es-AR"/>
        </w:rPr>
        <w:t xml:space="preserve">PP Inversiones S.A. </w:t>
      </w:r>
      <w:r w:rsidR="00335EB6" w:rsidRPr="00A36E7E">
        <w:rPr>
          <w:rFonts w:ascii="Times New Roman" w:hAnsi="Times New Roman"/>
          <w:sz w:val="20"/>
          <w:lang w:val="es-AR"/>
        </w:rPr>
        <w:t xml:space="preserve">con </w:t>
      </w:r>
      <w:r w:rsidR="00335EB6" w:rsidRPr="00A36E7E">
        <w:rPr>
          <w:rFonts w:ascii="Times New Roman" w:hAnsi="Times New Roman"/>
          <w:sz w:val="20"/>
          <w:lang w:val="es-AR"/>
        </w:rPr>
        <w:lastRenderedPageBreak/>
        <w:t xml:space="preserve">domicilio en Juncal 4456, Piso 8, Ciudad Autónoma de Buenos Aires, </w:t>
      </w:r>
      <w:r w:rsidR="00335EB6">
        <w:rPr>
          <w:rFonts w:ascii="Times New Roman" w:hAnsi="Times New Roman"/>
          <w:sz w:val="20"/>
          <w:lang w:val="es-AR"/>
        </w:rPr>
        <w:t>República Argentina</w:t>
      </w:r>
      <w:r w:rsidR="00335EB6" w:rsidRPr="00A36E7E">
        <w:rPr>
          <w:rFonts w:ascii="Times New Roman" w:hAnsi="Times New Roman"/>
          <w:sz w:val="20"/>
          <w:lang w:val="es-AR"/>
        </w:rPr>
        <w:t xml:space="preserve"> (Atención: Roberto García Guevara</w:t>
      </w:r>
      <w:r w:rsidR="00335EB6">
        <w:rPr>
          <w:rFonts w:ascii="Times New Roman" w:hAnsi="Times New Roman"/>
          <w:sz w:val="20"/>
          <w:lang w:val="es-AR"/>
        </w:rPr>
        <w:t>,</w:t>
      </w:r>
      <w:r w:rsidR="00335EB6" w:rsidRPr="00A36E7E">
        <w:rPr>
          <w:rFonts w:ascii="Times New Roman" w:hAnsi="Times New Roman"/>
          <w:sz w:val="20"/>
          <w:lang w:val="es-AR"/>
        </w:rPr>
        <w:t xml:space="preserve"> </w:t>
      </w:r>
      <w:r w:rsidR="00335EB6" w:rsidRPr="0046623D">
        <w:rPr>
          <w:rFonts w:ascii="Times New Roman" w:hAnsi="Times New Roman"/>
          <w:sz w:val="20"/>
          <w:lang w:val="es-AR"/>
        </w:rPr>
        <w:t>Teléfono: 0800 345 7599</w:t>
      </w:r>
      <w:r w:rsidR="00335EB6">
        <w:rPr>
          <w:rFonts w:ascii="Times New Roman" w:hAnsi="Times New Roman"/>
          <w:sz w:val="20"/>
          <w:lang w:val="es-AR"/>
        </w:rPr>
        <w:t xml:space="preserve">, E-mail: </w:t>
      </w:r>
      <w:hyperlink r:id="rId16" w:history="1">
        <w:r w:rsidR="00335EB6" w:rsidRPr="00A25663">
          <w:rPr>
            <w:rStyle w:val="Hyperlink"/>
            <w:rFonts w:ascii="Times New Roman" w:hAnsi="Times New Roman"/>
            <w:sz w:val="20"/>
            <w:lang w:val="es-AR"/>
          </w:rPr>
          <w:t>roguevara@portfoliopersonal.com</w:t>
        </w:r>
      </w:hyperlink>
      <w:r w:rsidR="00335EB6">
        <w:rPr>
          <w:rFonts w:ascii="Times New Roman" w:hAnsi="Times New Roman"/>
          <w:sz w:val="20"/>
          <w:lang w:val="es-AR"/>
        </w:rPr>
        <w:t>)</w:t>
      </w:r>
      <w:r>
        <w:rPr>
          <w:rFonts w:ascii="Times New Roman" w:hAnsi="Times New Roman"/>
          <w:sz w:val="20"/>
          <w:lang w:val="es-AR"/>
        </w:rPr>
        <w:t>.</w:t>
      </w:r>
      <w:r w:rsidR="00335EB6">
        <w:rPr>
          <w:rFonts w:ascii="Times New Roman" w:hAnsi="Times New Roman"/>
          <w:sz w:val="20"/>
          <w:lang w:val="es-AR"/>
        </w:rPr>
        <w:t>]</w:t>
      </w:r>
      <w:r w:rsidR="00335EB6">
        <w:rPr>
          <w:rStyle w:val="FootnoteReference"/>
          <w:rFonts w:ascii="Times New Roman" w:hAnsi="Times New Roman"/>
          <w:sz w:val="20"/>
          <w:lang w:val="es-AR"/>
        </w:rPr>
        <w:footnoteReference w:id="2"/>
      </w:r>
    </w:p>
    <w:p w14:paraId="18A45A2E" w14:textId="365F49F4" w:rsidR="00857D56" w:rsidRPr="00507577" w:rsidRDefault="007A60FD" w:rsidP="003317D9">
      <w:pPr>
        <w:pStyle w:val="DPWWriterInfo"/>
        <w:numPr>
          <w:ilvl w:val="0"/>
          <w:numId w:val="3"/>
        </w:numPr>
        <w:tabs>
          <w:tab w:val="clear" w:pos="720"/>
          <w:tab w:val="num" w:pos="0"/>
        </w:tabs>
        <w:spacing w:before="120" w:after="0"/>
        <w:ind w:left="-567" w:right="-660" w:firstLine="0"/>
        <w:jc w:val="both"/>
        <w:rPr>
          <w:rFonts w:ascii="Times New Roman" w:hAnsi="Times New Roman"/>
          <w:spacing w:val="-3"/>
          <w:sz w:val="20"/>
          <w:lang w:val="es-AR"/>
        </w:rPr>
      </w:pPr>
      <w:r w:rsidRPr="00507577">
        <w:rPr>
          <w:rFonts w:ascii="Times New Roman" w:hAnsi="Times New Roman"/>
          <w:b/>
          <w:bCs/>
          <w:sz w:val="20"/>
          <w:u w:val="single"/>
          <w:lang w:val="es-AR"/>
        </w:rPr>
        <w:t xml:space="preserve">Período </w:t>
      </w:r>
      <w:r w:rsidR="006D40DF" w:rsidRPr="00507577">
        <w:rPr>
          <w:rFonts w:ascii="Times New Roman" w:hAnsi="Times New Roman"/>
          <w:b/>
          <w:bCs/>
          <w:sz w:val="20"/>
          <w:u w:val="single"/>
          <w:lang w:val="es-AR"/>
        </w:rPr>
        <w:t>Informativo</w:t>
      </w:r>
      <w:r w:rsidRPr="00507577">
        <w:rPr>
          <w:rFonts w:ascii="Times New Roman" w:hAnsi="Times New Roman"/>
          <w:b/>
          <w:bCs/>
          <w:sz w:val="20"/>
          <w:lang w:val="es-AR"/>
        </w:rPr>
        <w:t>:</w:t>
      </w:r>
      <w:r w:rsidRPr="00507577">
        <w:rPr>
          <w:rFonts w:ascii="Times New Roman" w:hAnsi="Times New Roman"/>
          <w:sz w:val="20"/>
          <w:lang w:val="es-AR"/>
        </w:rPr>
        <w:t xml:space="preserve"> </w:t>
      </w:r>
      <w:r w:rsidR="005A3F7E">
        <w:rPr>
          <w:rFonts w:ascii="Times New Roman" w:hAnsi="Times New Roman"/>
          <w:sz w:val="20"/>
          <w:lang w:val="es-AR"/>
        </w:rPr>
        <w:t>Será</w:t>
      </w:r>
      <w:r w:rsidR="005A3F7E" w:rsidRPr="00507577">
        <w:rPr>
          <w:rFonts w:ascii="Times New Roman" w:hAnsi="Times New Roman"/>
          <w:sz w:val="20"/>
          <w:lang w:val="es-AR"/>
        </w:rPr>
        <w:t xml:space="preserve"> </w:t>
      </w:r>
      <w:r w:rsidR="005A3F7E">
        <w:rPr>
          <w:rFonts w:ascii="Times New Roman" w:hAnsi="Times New Roman"/>
          <w:sz w:val="20"/>
          <w:lang w:val="es-AR"/>
        </w:rPr>
        <w:t xml:space="preserve">el día </w:t>
      </w:r>
      <w:r w:rsidR="00364CCD">
        <w:rPr>
          <w:rFonts w:ascii="Times New Roman" w:hAnsi="Times New Roman"/>
          <w:sz w:val="20"/>
          <w:lang w:val="es-AR"/>
        </w:rPr>
        <w:t>4 de mayo de 2026</w:t>
      </w:r>
      <w:r w:rsidR="004047E5" w:rsidRPr="00507577">
        <w:rPr>
          <w:rFonts w:ascii="Times New Roman" w:hAnsi="Times New Roman"/>
          <w:sz w:val="20"/>
          <w:lang w:val="es-AR"/>
        </w:rPr>
        <w:t>.</w:t>
      </w:r>
      <w:r w:rsidR="006D40DF" w:rsidRPr="00507577">
        <w:rPr>
          <w:rFonts w:ascii="Times New Roman" w:hAnsi="Times New Roman"/>
          <w:sz w:val="20"/>
          <w:lang w:val="es-AR"/>
        </w:rPr>
        <w:t xml:space="preserve"> Durante este período los agentes </w:t>
      </w:r>
      <w:r w:rsidR="0070231A">
        <w:rPr>
          <w:rFonts w:ascii="Times New Roman" w:hAnsi="Times New Roman"/>
          <w:sz w:val="20"/>
          <w:lang w:val="es-AR"/>
        </w:rPr>
        <w:t>de A3</w:t>
      </w:r>
      <w:r w:rsidR="006D40DF" w:rsidRPr="00507577">
        <w:rPr>
          <w:rFonts w:ascii="Times New Roman" w:hAnsi="Times New Roman"/>
          <w:sz w:val="20"/>
          <w:lang w:val="es-AR"/>
        </w:rPr>
        <w:t xml:space="preserve"> no podrán ingresar posturas a través del módulo colocaciones primarias del sistema SIOPEL.</w:t>
      </w:r>
    </w:p>
    <w:p w14:paraId="74246289" w14:textId="51B23CCC" w:rsidR="006D40DF" w:rsidRPr="00507577" w:rsidRDefault="006D40DF" w:rsidP="003317D9">
      <w:pPr>
        <w:pStyle w:val="DPWWriterInfo"/>
        <w:numPr>
          <w:ilvl w:val="0"/>
          <w:numId w:val="3"/>
        </w:numPr>
        <w:tabs>
          <w:tab w:val="clear" w:pos="720"/>
          <w:tab w:val="num" w:pos="0"/>
        </w:tabs>
        <w:spacing w:before="120" w:after="0"/>
        <w:ind w:left="-567" w:right="-660" w:firstLine="0"/>
        <w:jc w:val="both"/>
        <w:rPr>
          <w:rFonts w:ascii="Times New Roman" w:hAnsi="Times New Roman"/>
          <w:spacing w:val="-3"/>
          <w:sz w:val="20"/>
          <w:lang w:val="es-AR"/>
        </w:rPr>
      </w:pPr>
      <w:r w:rsidRPr="00507577">
        <w:rPr>
          <w:rFonts w:ascii="Times New Roman" w:hAnsi="Times New Roman"/>
          <w:b/>
          <w:spacing w:val="-3"/>
          <w:sz w:val="20"/>
          <w:u w:val="single"/>
          <w:lang w:val="es-AR"/>
        </w:rPr>
        <w:t>Período de Subasta</w:t>
      </w:r>
      <w:r w:rsidR="00390478">
        <w:rPr>
          <w:rFonts w:ascii="Times New Roman" w:hAnsi="Times New Roman"/>
          <w:b/>
          <w:spacing w:val="-3"/>
          <w:sz w:val="20"/>
          <w:u w:val="single"/>
          <w:lang w:val="es-AR"/>
        </w:rPr>
        <w:t xml:space="preserve"> Pública</w:t>
      </w:r>
      <w:r w:rsidRPr="00507577">
        <w:rPr>
          <w:rFonts w:ascii="Times New Roman" w:hAnsi="Times New Roman"/>
          <w:spacing w:val="-3"/>
          <w:sz w:val="20"/>
          <w:lang w:val="es-AR"/>
        </w:rPr>
        <w:t xml:space="preserve">: </w:t>
      </w:r>
      <w:r w:rsidRPr="00507577">
        <w:rPr>
          <w:rFonts w:ascii="Times New Roman" w:hAnsi="Times New Roman"/>
          <w:sz w:val="20"/>
          <w:lang w:val="es-AR"/>
        </w:rPr>
        <w:t xml:space="preserve">Comenzará a las 10 </w:t>
      </w:r>
      <w:proofErr w:type="spellStart"/>
      <w:r w:rsidRPr="00507577">
        <w:rPr>
          <w:rFonts w:ascii="Times New Roman" w:hAnsi="Times New Roman"/>
          <w:sz w:val="20"/>
          <w:lang w:val="es-AR"/>
        </w:rPr>
        <w:t>hs</w:t>
      </w:r>
      <w:proofErr w:type="spellEnd"/>
      <w:r w:rsidRPr="00507577">
        <w:rPr>
          <w:rFonts w:ascii="Times New Roman" w:hAnsi="Times New Roman"/>
          <w:sz w:val="20"/>
          <w:lang w:val="es-AR"/>
        </w:rPr>
        <w:t>. y finalizará a las 1</w:t>
      </w:r>
      <w:r w:rsidR="007D35BA" w:rsidRPr="00507577">
        <w:rPr>
          <w:rFonts w:ascii="Times New Roman" w:hAnsi="Times New Roman"/>
          <w:sz w:val="20"/>
          <w:lang w:val="es-AR"/>
        </w:rPr>
        <w:t>6</w:t>
      </w:r>
      <w:r w:rsidRPr="00507577">
        <w:rPr>
          <w:rFonts w:ascii="Times New Roman" w:hAnsi="Times New Roman"/>
          <w:sz w:val="20"/>
          <w:lang w:val="es-AR"/>
        </w:rPr>
        <w:t xml:space="preserve"> </w:t>
      </w:r>
      <w:proofErr w:type="spellStart"/>
      <w:r w:rsidRPr="00507577">
        <w:rPr>
          <w:rFonts w:ascii="Times New Roman" w:hAnsi="Times New Roman"/>
          <w:sz w:val="20"/>
          <w:lang w:val="es-AR"/>
        </w:rPr>
        <w:t>hs</w:t>
      </w:r>
      <w:proofErr w:type="spellEnd"/>
      <w:r w:rsidRPr="00507577">
        <w:rPr>
          <w:rFonts w:ascii="Times New Roman" w:hAnsi="Times New Roman"/>
          <w:sz w:val="20"/>
          <w:lang w:val="es-AR"/>
        </w:rPr>
        <w:t>. del</w:t>
      </w:r>
      <w:bookmarkStart w:id="2" w:name="_Hlk204693402"/>
      <w:r w:rsidR="008314C2">
        <w:rPr>
          <w:rFonts w:ascii="Times New Roman" w:hAnsi="Times New Roman"/>
          <w:sz w:val="20"/>
          <w:lang w:val="es-AR"/>
        </w:rPr>
        <w:t xml:space="preserve"> </w:t>
      </w:r>
      <w:bookmarkEnd w:id="2"/>
      <w:r w:rsidR="00364CCD">
        <w:rPr>
          <w:rFonts w:ascii="Times New Roman" w:hAnsi="Times New Roman"/>
          <w:sz w:val="20"/>
          <w:lang w:val="es-AR"/>
        </w:rPr>
        <w:t xml:space="preserve">5 </w:t>
      </w:r>
      <w:r w:rsidR="00FE1AF4">
        <w:rPr>
          <w:rFonts w:ascii="Times New Roman" w:hAnsi="Times New Roman"/>
          <w:sz w:val="20"/>
          <w:lang w:val="es-AR"/>
        </w:rPr>
        <w:t xml:space="preserve">de </w:t>
      </w:r>
      <w:r w:rsidR="00364CCD">
        <w:rPr>
          <w:rFonts w:ascii="Times New Roman" w:hAnsi="Times New Roman"/>
          <w:sz w:val="20"/>
          <w:lang w:val="es-AR"/>
        </w:rPr>
        <w:t xml:space="preserve">mayo </w:t>
      </w:r>
      <w:r w:rsidR="00FE1AF4">
        <w:rPr>
          <w:rFonts w:ascii="Times New Roman" w:hAnsi="Times New Roman"/>
          <w:sz w:val="20"/>
          <w:lang w:val="es-AR"/>
        </w:rPr>
        <w:t>de 2026</w:t>
      </w:r>
      <w:r w:rsidRPr="00507577">
        <w:rPr>
          <w:rFonts w:ascii="Times New Roman" w:hAnsi="Times New Roman"/>
          <w:sz w:val="20"/>
          <w:lang w:val="es-AR"/>
        </w:rPr>
        <w:t>.</w:t>
      </w:r>
    </w:p>
    <w:p w14:paraId="32E51B14" w14:textId="19559BB5" w:rsidR="006D40DF" w:rsidRPr="00507577" w:rsidRDefault="006D40DF" w:rsidP="003317D9">
      <w:pPr>
        <w:pStyle w:val="DPWWriterInfo"/>
        <w:numPr>
          <w:ilvl w:val="0"/>
          <w:numId w:val="3"/>
        </w:numPr>
        <w:tabs>
          <w:tab w:val="clear" w:pos="720"/>
          <w:tab w:val="num" w:pos="0"/>
        </w:tabs>
        <w:spacing w:before="120" w:after="0"/>
        <w:ind w:left="-567" w:right="-660" w:firstLine="0"/>
        <w:jc w:val="both"/>
        <w:rPr>
          <w:rFonts w:ascii="Times New Roman" w:hAnsi="Times New Roman"/>
          <w:i/>
          <w:sz w:val="20"/>
          <w:lang w:val="es-AR"/>
        </w:rPr>
      </w:pPr>
      <w:r w:rsidRPr="00507577">
        <w:rPr>
          <w:rFonts w:ascii="Times New Roman" w:hAnsi="Times New Roman"/>
          <w:b/>
          <w:sz w:val="20"/>
          <w:u w:val="single"/>
          <w:lang w:val="es-AR"/>
        </w:rPr>
        <w:t xml:space="preserve">Terminación, </w:t>
      </w:r>
      <w:r w:rsidR="00DE1669">
        <w:rPr>
          <w:rFonts w:ascii="Times New Roman" w:hAnsi="Times New Roman"/>
          <w:b/>
          <w:sz w:val="20"/>
          <w:u w:val="single"/>
          <w:lang w:val="es-AR"/>
        </w:rPr>
        <w:t xml:space="preserve">modificación, </w:t>
      </w:r>
      <w:r w:rsidRPr="00507577">
        <w:rPr>
          <w:rFonts w:ascii="Times New Roman" w:hAnsi="Times New Roman"/>
          <w:b/>
          <w:sz w:val="20"/>
          <w:u w:val="single"/>
          <w:lang w:val="es-AR"/>
        </w:rPr>
        <w:t xml:space="preserve">suspensión </w:t>
      </w:r>
      <w:r w:rsidR="00DE1669">
        <w:rPr>
          <w:rFonts w:ascii="Times New Roman" w:hAnsi="Times New Roman"/>
          <w:b/>
          <w:sz w:val="20"/>
          <w:u w:val="single"/>
          <w:lang w:val="es-AR"/>
        </w:rPr>
        <w:t>y/</w:t>
      </w:r>
      <w:r w:rsidRPr="00507577">
        <w:rPr>
          <w:rFonts w:ascii="Times New Roman" w:hAnsi="Times New Roman"/>
          <w:b/>
          <w:sz w:val="20"/>
          <w:u w:val="single"/>
          <w:lang w:val="es-AR"/>
        </w:rPr>
        <w:t>o prórroga de la oferta</w:t>
      </w:r>
      <w:r w:rsidRPr="00507577">
        <w:rPr>
          <w:rFonts w:ascii="Times New Roman" w:hAnsi="Times New Roman"/>
          <w:b/>
          <w:sz w:val="20"/>
          <w:lang w:val="es-AR"/>
        </w:rPr>
        <w:t>:</w:t>
      </w:r>
      <w:r w:rsidRPr="00507577">
        <w:rPr>
          <w:rFonts w:ascii="Times New Roman" w:hAnsi="Times New Roman"/>
          <w:sz w:val="20"/>
          <w:lang w:val="es-AR"/>
        </w:rPr>
        <w:t xml:space="preserve"> </w:t>
      </w:r>
      <w:r w:rsidR="003E2207" w:rsidRPr="00507577">
        <w:rPr>
          <w:rFonts w:ascii="Times New Roman" w:hAnsi="Times New Roman"/>
          <w:sz w:val="20"/>
          <w:lang w:val="es-AR"/>
        </w:rPr>
        <w:t xml:space="preserve">El Emisor a su sólo criterio podrá terminar y dejar sin efecto, modificar, suspender y/o prorrogar, el Período Informativo y/o el </w:t>
      </w:r>
      <w:r w:rsidR="00390478">
        <w:rPr>
          <w:rFonts w:ascii="Times New Roman" w:hAnsi="Times New Roman"/>
          <w:sz w:val="20"/>
          <w:lang w:val="es-AR"/>
        </w:rPr>
        <w:t>Período de Subasta Pública</w:t>
      </w:r>
      <w:r w:rsidR="003E2207" w:rsidRPr="00507577">
        <w:rPr>
          <w:rFonts w:ascii="Times New Roman" w:hAnsi="Times New Roman"/>
          <w:sz w:val="20"/>
          <w:lang w:val="es-AR"/>
        </w:rPr>
        <w:t xml:space="preserve"> en cualquier momento, lo cual, en su caso, será informado (a más tardar dos horas antes del cierre del período de que se trate) mediante un aviso complementario al </w:t>
      </w:r>
      <w:r w:rsidR="00CE2A4E">
        <w:rPr>
          <w:rFonts w:ascii="Times New Roman" w:hAnsi="Times New Roman"/>
          <w:sz w:val="20"/>
          <w:lang w:val="es-AR"/>
        </w:rPr>
        <w:t>Suplemento de Prospecto</w:t>
      </w:r>
      <w:r w:rsidR="003E2207" w:rsidRPr="00507577">
        <w:rPr>
          <w:rFonts w:ascii="Times New Roman" w:hAnsi="Times New Roman"/>
          <w:sz w:val="20"/>
          <w:lang w:val="es-AR"/>
        </w:rPr>
        <w:t xml:space="preserve"> que será publicado en los Sistemas Informativos. La terminación, modificación, suspensión y/o prórroga del Período Informativo y/o del </w:t>
      </w:r>
      <w:r w:rsidR="00390478">
        <w:rPr>
          <w:rFonts w:ascii="Times New Roman" w:hAnsi="Times New Roman"/>
          <w:sz w:val="20"/>
          <w:lang w:val="es-AR"/>
        </w:rPr>
        <w:t>Período de Subasta Pública</w:t>
      </w:r>
      <w:r w:rsidR="003E2207" w:rsidRPr="00507577">
        <w:rPr>
          <w:rFonts w:ascii="Times New Roman" w:hAnsi="Times New Roman"/>
          <w:sz w:val="20"/>
          <w:lang w:val="es-AR"/>
        </w:rPr>
        <w:t xml:space="preserve"> no generará responsabilidad alguna al Emisor y/o </w:t>
      </w:r>
      <w:r w:rsidR="003F6218">
        <w:rPr>
          <w:rFonts w:ascii="Times New Roman" w:hAnsi="Times New Roman"/>
          <w:sz w:val="20"/>
          <w:lang w:val="es-AR"/>
        </w:rPr>
        <w:t>a los Colocadores</w:t>
      </w:r>
      <w:r w:rsidR="003F6218" w:rsidRPr="00507577">
        <w:rPr>
          <w:rFonts w:ascii="Times New Roman" w:hAnsi="Times New Roman"/>
          <w:sz w:val="20"/>
          <w:lang w:val="es-AR"/>
        </w:rPr>
        <w:t xml:space="preserve"> </w:t>
      </w:r>
      <w:r w:rsidR="003E2207" w:rsidRPr="00507577">
        <w:rPr>
          <w:rFonts w:ascii="Times New Roman" w:hAnsi="Times New Roman"/>
          <w:sz w:val="20"/>
          <w:lang w:val="es-AR"/>
        </w:rPr>
        <w:t xml:space="preserve">ni otorgará a los oferentes, derecho a compensación y/o indemnización alguna. En caso de modificación, suspensión y/o prórroga del </w:t>
      </w:r>
      <w:r w:rsidR="002861FF">
        <w:rPr>
          <w:rFonts w:ascii="Times New Roman" w:hAnsi="Times New Roman"/>
          <w:sz w:val="20"/>
          <w:lang w:val="es-AR"/>
        </w:rPr>
        <w:t xml:space="preserve">Período Informativo y/o </w:t>
      </w:r>
      <w:r w:rsidR="00390478">
        <w:rPr>
          <w:rFonts w:ascii="Times New Roman" w:hAnsi="Times New Roman"/>
          <w:sz w:val="20"/>
          <w:lang w:val="es-AR"/>
        </w:rPr>
        <w:t>Período de Subasta Pública</w:t>
      </w:r>
      <w:r w:rsidR="003E2207" w:rsidRPr="00507577">
        <w:rPr>
          <w:rFonts w:ascii="Times New Roman" w:hAnsi="Times New Roman"/>
          <w:sz w:val="20"/>
          <w:lang w:val="es-AR"/>
        </w:rPr>
        <w:t xml:space="preserve">, los oferentes que hayan presentado órdenes de compra o ingresado ofertas, de Obligaciones Negociables con anterioridad a dicha modificación, suspensión y/o prórroga podrán a su sólo criterio retirar tales órdenes de compra u ofertas, en cualquier momento anterior a la finalización del </w:t>
      </w:r>
      <w:r w:rsidR="00390478">
        <w:rPr>
          <w:rFonts w:ascii="Times New Roman" w:hAnsi="Times New Roman"/>
          <w:sz w:val="20"/>
          <w:lang w:val="es-AR"/>
        </w:rPr>
        <w:t>Período de Subasta Pública</w:t>
      </w:r>
      <w:r w:rsidR="003E2207" w:rsidRPr="00507577">
        <w:rPr>
          <w:rFonts w:ascii="Times New Roman" w:hAnsi="Times New Roman"/>
          <w:sz w:val="20"/>
          <w:lang w:val="es-AR"/>
        </w:rPr>
        <w:t xml:space="preserve">, sin penalidad alguna. En caso de terminación del </w:t>
      </w:r>
      <w:r w:rsidR="002861FF">
        <w:rPr>
          <w:rFonts w:ascii="Times New Roman" w:hAnsi="Times New Roman"/>
          <w:sz w:val="20"/>
          <w:lang w:val="es-AR"/>
        </w:rPr>
        <w:t xml:space="preserve">Período Informativo y/o </w:t>
      </w:r>
      <w:r w:rsidR="00390478">
        <w:rPr>
          <w:rFonts w:ascii="Times New Roman" w:hAnsi="Times New Roman"/>
          <w:sz w:val="20"/>
          <w:lang w:val="es-AR"/>
        </w:rPr>
        <w:t>Período de Subasta Pública</w:t>
      </w:r>
      <w:r w:rsidR="003E2207" w:rsidRPr="00507577">
        <w:rPr>
          <w:rFonts w:ascii="Times New Roman" w:hAnsi="Times New Roman"/>
          <w:sz w:val="20"/>
          <w:lang w:val="es-AR"/>
        </w:rPr>
        <w:t>, todas las órdenes de compra que se hayan presentado u ofertas que se hayan ingresado hasta ese momento, quedarán automáticamente sin efecto</w:t>
      </w:r>
      <w:r w:rsidRPr="00507577">
        <w:rPr>
          <w:rFonts w:ascii="Times New Roman" w:hAnsi="Times New Roman"/>
          <w:sz w:val="20"/>
          <w:lang w:val="es-AR"/>
        </w:rPr>
        <w:t xml:space="preserve">. </w:t>
      </w:r>
    </w:p>
    <w:p w14:paraId="1A4CAB1B" w14:textId="409D3D13" w:rsidR="00B34A2A" w:rsidRPr="00507577" w:rsidRDefault="00B34A2A" w:rsidP="003317D9">
      <w:pPr>
        <w:pStyle w:val="DPWWriterInfo"/>
        <w:numPr>
          <w:ilvl w:val="0"/>
          <w:numId w:val="3"/>
        </w:numPr>
        <w:tabs>
          <w:tab w:val="clear" w:pos="720"/>
        </w:tabs>
        <w:spacing w:before="120" w:after="0"/>
        <w:ind w:left="-567" w:right="-660" w:firstLine="0"/>
        <w:jc w:val="both"/>
        <w:rPr>
          <w:rFonts w:ascii="Times New Roman" w:hAnsi="Times New Roman"/>
          <w:spacing w:val="-3"/>
          <w:sz w:val="20"/>
          <w:lang w:val="es-AR"/>
        </w:rPr>
      </w:pPr>
      <w:r w:rsidRPr="00507577">
        <w:rPr>
          <w:rFonts w:ascii="Times New Roman" w:hAnsi="Times New Roman"/>
          <w:b/>
          <w:bCs/>
          <w:sz w:val="20"/>
          <w:u w:val="single"/>
          <w:lang w:val="es-AR"/>
        </w:rPr>
        <w:t>Método de Colocación y Adjudicación</w:t>
      </w:r>
      <w:r w:rsidRPr="00507577">
        <w:rPr>
          <w:rFonts w:ascii="Times New Roman" w:hAnsi="Times New Roman"/>
          <w:b/>
          <w:bCs/>
          <w:sz w:val="20"/>
          <w:lang w:val="es-AR"/>
        </w:rPr>
        <w:t>:</w:t>
      </w:r>
      <w:r w:rsidRPr="00507577">
        <w:rPr>
          <w:rFonts w:ascii="Times New Roman" w:hAnsi="Times New Roman"/>
          <w:spacing w:val="-3"/>
          <w:sz w:val="20"/>
          <w:lang w:val="es-AR"/>
        </w:rPr>
        <w:t xml:space="preserve"> </w:t>
      </w:r>
      <w:r w:rsidR="006D40DF" w:rsidRPr="00507577">
        <w:rPr>
          <w:rFonts w:ascii="Times New Roman" w:hAnsi="Times New Roman"/>
          <w:spacing w:val="-3"/>
          <w:sz w:val="20"/>
          <w:lang w:val="es-AR"/>
        </w:rPr>
        <w:t xml:space="preserve">La colocación primaria de las Obligaciones Negociables será realizada de conformidad con lo establecido en el Capítulo </w:t>
      </w:r>
      <w:r w:rsidR="00CF3ECD" w:rsidRPr="00507577">
        <w:rPr>
          <w:rFonts w:ascii="Times New Roman" w:hAnsi="Times New Roman"/>
          <w:spacing w:val="-3"/>
          <w:sz w:val="20"/>
          <w:lang w:val="es-AR"/>
        </w:rPr>
        <w:t>I</w:t>
      </w:r>
      <w:r w:rsidR="006D40DF" w:rsidRPr="00507577">
        <w:rPr>
          <w:rFonts w:ascii="Times New Roman" w:hAnsi="Times New Roman"/>
          <w:spacing w:val="-3"/>
          <w:sz w:val="20"/>
          <w:lang w:val="es-AR"/>
        </w:rPr>
        <w:t>V</w:t>
      </w:r>
      <w:r w:rsidR="00CF3ECD" w:rsidRPr="00507577">
        <w:rPr>
          <w:rFonts w:ascii="Times New Roman" w:hAnsi="Times New Roman"/>
          <w:spacing w:val="-3"/>
          <w:sz w:val="20"/>
          <w:lang w:val="es-AR"/>
        </w:rPr>
        <w:t xml:space="preserve"> del T</w:t>
      </w:r>
      <w:r w:rsidR="007F3602" w:rsidRPr="00507577">
        <w:rPr>
          <w:rFonts w:ascii="Times New Roman" w:hAnsi="Times New Roman"/>
          <w:spacing w:val="-3"/>
          <w:sz w:val="20"/>
          <w:lang w:val="es-AR"/>
        </w:rPr>
        <w:t>í</w:t>
      </w:r>
      <w:r w:rsidR="00CF3ECD" w:rsidRPr="00507577">
        <w:rPr>
          <w:rFonts w:ascii="Times New Roman" w:hAnsi="Times New Roman"/>
          <w:spacing w:val="-3"/>
          <w:sz w:val="20"/>
          <w:lang w:val="es-AR"/>
        </w:rPr>
        <w:t>tulo VI</w:t>
      </w:r>
      <w:r w:rsidR="006D40DF" w:rsidRPr="00507577">
        <w:rPr>
          <w:rFonts w:ascii="Times New Roman" w:hAnsi="Times New Roman"/>
          <w:spacing w:val="-3"/>
          <w:sz w:val="20"/>
          <w:lang w:val="es-AR"/>
        </w:rPr>
        <w:t xml:space="preserve"> de las Normas de la CNV, a través de un proceso licitatorio o subasta </w:t>
      </w:r>
      <w:r w:rsidR="000702DE" w:rsidRPr="00507577">
        <w:rPr>
          <w:rFonts w:ascii="Times New Roman" w:hAnsi="Times New Roman"/>
          <w:spacing w:val="-3"/>
          <w:sz w:val="20"/>
          <w:lang w:val="es-AR"/>
        </w:rPr>
        <w:t>pública</w:t>
      </w:r>
      <w:r w:rsidR="006D40DF" w:rsidRPr="00507577">
        <w:rPr>
          <w:rFonts w:ascii="Times New Roman" w:hAnsi="Times New Roman"/>
          <w:spacing w:val="-3"/>
          <w:sz w:val="20"/>
          <w:lang w:val="es-AR"/>
        </w:rPr>
        <w:t xml:space="preserve"> que será llevado adelante por medio del sistema denominado SIOPEL de propiedad de, y operado por, </w:t>
      </w:r>
      <w:r w:rsidR="002316AD">
        <w:rPr>
          <w:rFonts w:ascii="Times New Roman" w:hAnsi="Times New Roman"/>
          <w:spacing w:val="-3"/>
          <w:sz w:val="20"/>
          <w:lang w:val="es-AR"/>
        </w:rPr>
        <w:t>A3</w:t>
      </w:r>
      <w:r w:rsidR="006D40DF" w:rsidRPr="00507577">
        <w:rPr>
          <w:rFonts w:ascii="Times New Roman" w:hAnsi="Times New Roman"/>
          <w:spacing w:val="-3"/>
          <w:sz w:val="20"/>
          <w:lang w:val="es-AR"/>
        </w:rPr>
        <w:t xml:space="preserve">. </w:t>
      </w:r>
      <w:r w:rsidR="00A35B34" w:rsidRPr="00507577">
        <w:rPr>
          <w:rFonts w:ascii="Times New Roman" w:hAnsi="Times New Roman"/>
          <w:sz w:val="20"/>
          <w:lang w:val="es-AR"/>
        </w:rPr>
        <w:t xml:space="preserve">La licitación que se realizará durante el </w:t>
      </w:r>
      <w:r w:rsidR="00390478">
        <w:rPr>
          <w:rFonts w:ascii="Times New Roman" w:hAnsi="Times New Roman"/>
          <w:sz w:val="20"/>
          <w:lang w:val="es-AR"/>
        </w:rPr>
        <w:t>Período de Subasta Pública</w:t>
      </w:r>
      <w:r w:rsidR="00A35B34" w:rsidRPr="00507577">
        <w:rPr>
          <w:rFonts w:ascii="Times New Roman" w:hAnsi="Times New Roman"/>
          <w:sz w:val="20"/>
          <w:lang w:val="es-AR"/>
        </w:rPr>
        <w:t xml:space="preserve"> será </w:t>
      </w:r>
      <w:r w:rsidR="00262DE6" w:rsidRPr="00507577">
        <w:rPr>
          <w:rFonts w:ascii="Times New Roman" w:hAnsi="Times New Roman"/>
          <w:sz w:val="20"/>
          <w:lang w:val="es-AR"/>
        </w:rPr>
        <w:t>abierta</w:t>
      </w:r>
      <w:r w:rsidR="00BE751E" w:rsidRPr="00507577">
        <w:rPr>
          <w:rFonts w:ascii="Times New Roman" w:hAnsi="Times New Roman"/>
          <w:sz w:val="20"/>
          <w:lang w:val="es-AR"/>
        </w:rPr>
        <w:t xml:space="preserve">. </w:t>
      </w:r>
      <w:r w:rsidR="00182B68" w:rsidRPr="00507577">
        <w:rPr>
          <w:rFonts w:ascii="Times New Roman" w:hAnsi="Times New Roman"/>
          <w:sz w:val="20"/>
          <w:lang w:val="es-AR"/>
        </w:rPr>
        <w:t xml:space="preserve">Todos aquellos agentes </w:t>
      </w:r>
      <w:r w:rsidR="002316AD">
        <w:rPr>
          <w:rFonts w:ascii="Times New Roman" w:hAnsi="Times New Roman"/>
          <w:sz w:val="20"/>
          <w:lang w:val="es-AR"/>
        </w:rPr>
        <w:t>de A3</w:t>
      </w:r>
      <w:r w:rsidR="00182B68" w:rsidRPr="00507577">
        <w:rPr>
          <w:rFonts w:ascii="Times New Roman" w:hAnsi="Times New Roman"/>
          <w:sz w:val="20"/>
          <w:lang w:val="es-AR"/>
        </w:rPr>
        <w:t xml:space="preserve"> que cuenten con línea de crédito otorgada por </w:t>
      </w:r>
      <w:r w:rsidR="003F6218">
        <w:rPr>
          <w:rFonts w:ascii="Times New Roman" w:hAnsi="Times New Roman"/>
          <w:sz w:val="20"/>
          <w:lang w:val="es-AR"/>
        </w:rPr>
        <w:t>los Colocadores</w:t>
      </w:r>
      <w:r w:rsidR="00182B68" w:rsidRPr="00507577">
        <w:rPr>
          <w:rFonts w:ascii="Times New Roman" w:hAnsi="Times New Roman"/>
          <w:sz w:val="20"/>
          <w:lang w:val="es-AR"/>
        </w:rPr>
        <w:t xml:space="preserve"> serán, a pedido de</w:t>
      </w:r>
      <w:r w:rsidR="00DE1669">
        <w:rPr>
          <w:rFonts w:ascii="Times New Roman" w:hAnsi="Times New Roman"/>
          <w:sz w:val="20"/>
          <w:lang w:val="es-AR"/>
        </w:rPr>
        <w:t xml:space="preserve"> </w:t>
      </w:r>
      <w:r w:rsidR="00182B68" w:rsidRPr="00507577">
        <w:rPr>
          <w:rFonts w:ascii="Times New Roman" w:hAnsi="Times New Roman"/>
          <w:sz w:val="20"/>
          <w:lang w:val="es-AR"/>
        </w:rPr>
        <w:t>l</w:t>
      </w:r>
      <w:r w:rsidR="00DE1669">
        <w:rPr>
          <w:rFonts w:ascii="Times New Roman" w:hAnsi="Times New Roman"/>
          <w:sz w:val="20"/>
          <w:lang w:val="es-AR"/>
        </w:rPr>
        <w:t>os</w:t>
      </w:r>
      <w:r w:rsidR="00182B68" w:rsidRPr="00507577">
        <w:rPr>
          <w:rFonts w:ascii="Times New Roman" w:hAnsi="Times New Roman"/>
          <w:sz w:val="20"/>
          <w:lang w:val="es-AR"/>
        </w:rPr>
        <w:t xml:space="preserve"> mismo</w:t>
      </w:r>
      <w:r w:rsidR="00DE1669">
        <w:rPr>
          <w:rFonts w:ascii="Times New Roman" w:hAnsi="Times New Roman"/>
          <w:sz w:val="20"/>
          <w:lang w:val="es-AR"/>
        </w:rPr>
        <w:t>s</w:t>
      </w:r>
      <w:r w:rsidR="00182B68" w:rsidRPr="00507577">
        <w:rPr>
          <w:rFonts w:ascii="Times New Roman" w:hAnsi="Times New Roman"/>
          <w:sz w:val="20"/>
          <w:lang w:val="es-AR"/>
        </w:rPr>
        <w:t xml:space="preserve">, dados de alta para la visualización de las ofertas en la rueda sin más. Aquellos agentes </w:t>
      </w:r>
      <w:r w:rsidR="002316AD">
        <w:rPr>
          <w:rFonts w:ascii="Times New Roman" w:hAnsi="Times New Roman"/>
          <w:sz w:val="20"/>
          <w:lang w:val="es-AR"/>
        </w:rPr>
        <w:t>de A3</w:t>
      </w:r>
      <w:r w:rsidR="00182B68" w:rsidRPr="00507577">
        <w:rPr>
          <w:rFonts w:ascii="Times New Roman" w:hAnsi="Times New Roman"/>
          <w:sz w:val="20"/>
          <w:lang w:val="es-AR"/>
        </w:rPr>
        <w:t xml:space="preserve"> que no cuenten con línea de crédito otorgada por </w:t>
      </w:r>
      <w:r w:rsidR="003F6218">
        <w:rPr>
          <w:rFonts w:ascii="Times New Roman" w:hAnsi="Times New Roman"/>
          <w:sz w:val="20"/>
          <w:lang w:val="es-AR"/>
        </w:rPr>
        <w:t>los Colocadores</w:t>
      </w:r>
      <w:r w:rsidR="00182B68" w:rsidRPr="00507577">
        <w:rPr>
          <w:rFonts w:ascii="Times New Roman" w:hAnsi="Times New Roman"/>
          <w:sz w:val="20"/>
          <w:lang w:val="es-AR"/>
        </w:rPr>
        <w:t xml:space="preserve">, también deberán solicitar el alta correspondiente, para lo cual deberán acreditar su inscripción ante la CNV como “Agente Registrado” en los términos de la Ley de Mercado de Capitales. En cualquier caso, la solicitud deberá realizarse </w:t>
      </w:r>
      <w:r w:rsidR="0070082F" w:rsidRPr="00507577">
        <w:rPr>
          <w:rFonts w:ascii="Times New Roman" w:hAnsi="Times New Roman"/>
          <w:sz w:val="20"/>
          <w:lang w:val="es-AR"/>
        </w:rPr>
        <w:t xml:space="preserve">hasta las 17.00 horas del día </w:t>
      </w:r>
      <w:r w:rsidR="002861FF">
        <w:rPr>
          <w:rFonts w:ascii="Times New Roman" w:hAnsi="Times New Roman"/>
          <w:sz w:val="20"/>
          <w:lang w:val="es-AR"/>
        </w:rPr>
        <w:t xml:space="preserve">en </w:t>
      </w:r>
      <w:r w:rsidR="0070082F" w:rsidRPr="00507577">
        <w:rPr>
          <w:rFonts w:ascii="Times New Roman" w:hAnsi="Times New Roman"/>
          <w:sz w:val="20"/>
          <w:lang w:val="es-AR"/>
        </w:rPr>
        <w:t xml:space="preserve">que finalice el Período </w:t>
      </w:r>
      <w:r w:rsidR="002861FF">
        <w:rPr>
          <w:rFonts w:ascii="Times New Roman" w:hAnsi="Times New Roman"/>
          <w:sz w:val="20"/>
          <w:lang w:val="es-AR"/>
        </w:rPr>
        <w:t>Informativo</w:t>
      </w:r>
      <w:r w:rsidR="00A35B34" w:rsidRPr="00507577">
        <w:rPr>
          <w:rFonts w:ascii="Times New Roman" w:hAnsi="Times New Roman"/>
          <w:sz w:val="20"/>
          <w:lang w:val="es-AR"/>
        </w:rPr>
        <w:t xml:space="preserve">. </w:t>
      </w:r>
      <w:r w:rsidR="00182B68" w:rsidRPr="00507577">
        <w:rPr>
          <w:rFonts w:ascii="Times New Roman" w:hAnsi="Times New Roman"/>
          <w:sz w:val="20"/>
          <w:lang w:val="es-AR"/>
        </w:rPr>
        <w:t xml:space="preserve">Tanto </w:t>
      </w:r>
      <w:r w:rsidR="00182B68" w:rsidRPr="00507577">
        <w:rPr>
          <w:rFonts w:ascii="Times New Roman" w:hAnsi="Times New Roman"/>
          <w:spacing w:val="-3"/>
          <w:sz w:val="20"/>
          <w:lang w:val="es-AR"/>
        </w:rPr>
        <w:t>e</w:t>
      </w:r>
      <w:r w:rsidR="006D40DF" w:rsidRPr="00507577">
        <w:rPr>
          <w:rFonts w:ascii="Times New Roman" w:hAnsi="Times New Roman"/>
          <w:spacing w:val="-3"/>
          <w:sz w:val="20"/>
          <w:lang w:val="es-AR"/>
        </w:rPr>
        <w:t>l mecanismo de adjudicación</w:t>
      </w:r>
      <w:r w:rsidR="00182B68" w:rsidRPr="00507577">
        <w:rPr>
          <w:rFonts w:ascii="Times New Roman" w:hAnsi="Times New Roman"/>
          <w:spacing w:val="-3"/>
          <w:sz w:val="20"/>
          <w:lang w:val="es-AR"/>
        </w:rPr>
        <w:t>, como el sistema de prorrateos</w:t>
      </w:r>
      <w:r w:rsidR="006D40DF" w:rsidRPr="00507577">
        <w:rPr>
          <w:rFonts w:ascii="Times New Roman" w:hAnsi="Times New Roman"/>
          <w:spacing w:val="-3"/>
          <w:sz w:val="20"/>
          <w:lang w:val="es-AR"/>
        </w:rPr>
        <w:t xml:space="preserve"> será</w:t>
      </w:r>
      <w:r w:rsidR="00182B68" w:rsidRPr="00507577">
        <w:rPr>
          <w:rFonts w:ascii="Times New Roman" w:hAnsi="Times New Roman"/>
          <w:spacing w:val="-3"/>
          <w:sz w:val="20"/>
          <w:lang w:val="es-AR"/>
        </w:rPr>
        <w:t>n</w:t>
      </w:r>
      <w:r w:rsidR="006D40DF" w:rsidRPr="00507577">
        <w:rPr>
          <w:rFonts w:ascii="Times New Roman" w:hAnsi="Times New Roman"/>
          <w:spacing w:val="-3"/>
          <w:sz w:val="20"/>
          <w:lang w:val="es-AR"/>
        </w:rPr>
        <w:t xml:space="preserve"> descripto</w:t>
      </w:r>
      <w:r w:rsidR="00182B68" w:rsidRPr="00507577">
        <w:rPr>
          <w:rFonts w:ascii="Times New Roman" w:hAnsi="Times New Roman"/>
          <w:spacing w:val="-3"/>
          <w:sz w:val="20"/>
          <w:lang w:val="es-AR"/>
        </w:rPr>
        <w:t>s</w:t>
      </w:r>
      <w:r w:rsidR="006D40DF" w:rsidRPr="00507577">
        <w:rPr>
          <w:rFonts w:ascii="Times New Roman" w:hAnsi="Times New Roman"/>
          <w:spacing w:val="-3"/>
          <w:sz w:val="20"/>
          <w:lang w:val="es-AR"/>
        </w:rPr>
        <w:t xml:space="preserve"> en el Suplemento de </w:t>
      </w:r>
      <w:r w:rsidR="009031D5" w:rsidRPr="00507577">
        <w:rPr>
          <w:rFonts w:ascii="Times New Roman" w:hAnsi="Times New Roman"/>
          <w:spacing w:val="-3"/>
          <w:sz w:val="20"/>
          <w:lang w:val="es-AR"/>
        </w:rPr>
        <w:t>Prospecto</w:t>
      </w:r>
      <w:r w:rsidR="006D40DF" w:rsidRPr="00507577">
        <w:rPr>
          <w:rFonts w:ascii="Times New Roman" w:hAnsi="Times New Roman"/>
          <w:spacing w:val="-3"/>
          <w:sz w:val="20"/>
          <w:lang w:val="es-AR"/>
        </w:rPr>
        <w:t xml:space="preserve">. </w:t>
      </w:r>
      <w:r w:rsidR="009E33B0" w:rsidRPr="00507577">
        <w:rPr>
          <w:rFonts w:ascii="Times New Roman" w:hAnsi="Times New Roman"/>
          <w:iCs/>
          <w:spacing w:val="-3"/>
          <w:sz w:val="20"/>
          <w:lang w:val="es-AR"/>
        </w:rPr>
        <w:t xml:space="preserve">Ningún Inversor podrá presentar órdenes de compra, cuyos montos solicitados superen el </w:t>
      </w:r>
      <w:r w:rsidR="0070082F" w:rsidRPr="00507577">
        <w:rPr>
          <w:rFonts w:ascii="Times New Roman" w:hAnsi="Times New Roman"/>
          <w:iCs/>
          <w:spacing w:val="-3"/>
          <w:sz w:val="20"/>
          <w:lang w:val="es-AR"/>
        </w:rPr>
        <w:t>Monto Máximo de Emisión</w:t>
      </w:r>
      <w:r w:rsidR="009E33B0" w:rsidRPr="00507577">
        <w:rPr>
          <w:rFonts w:ascii="Times New Roman" w:hAnsi="Times New Roman"/>
          <w:iCs/>
          <w:spacing w:val="-3"/>
          <w:sz w:val="20"/>
          <w:lang w:val="es-AR"/>
        </w:rPr>
        <w:t>, ya sea que se presenten en una o más órdenes de compra del mismo Inversor presentadas a través de</w:t>
      </w:r>
      <w:r w:rsidR="003F6218">
        <w:rPr>
          <w:rFonts w:ascii="Times New Roman" w:hAnsi="Times New Roman"/>
          <w:iCs/>
          <w:spacing w:val="-3"/>
          <w:sz w:val="20"/>
          <w:lang w:val="es-AR"/>
        </w:rPr>
        <w:t xml:space="preserve"> los Colocadores </w:t>
      </w:r>
      <w:r w:rsidR="009E33B0" w:rsidRPr="00507577">
        <w:rPr>
          <w:rFonts w:ascii="Times New Roman" w:hAnsi="Times New Roman"/>
          <w:iCs/>
          <w:spacing w:val="-3"/>
          <w:sz w:val="20"/>
          <w:lang w:val="es-AR"/>
        </w:rPr>
        <w:t xml:space="preserve">y/o a través de los agentes </w:t>
      </w:r>
      <w:r w:rsidR="002316AD">
        <w:rPr>
          <w:rFonts w:ascii="Times New Roman" w:hAnsi="Times New Roman"/>
          <w:iCs/>
          <w:spacing w:val="-3"/>
          <w:sz w:val="20"/>
          <w:lang w:val="es-AR"/>
        </w:rPr>
        <w:t>de A3</w:t>
      </w:r>
      <w:r w:rsidR="009E33B0" w:rsidRPr="00507577">
        <w:rPr>
          <w:rFonts w:ascii="Times New Roman" w:hAnsi="Times New Roman"/>
          <w:iCs/>
          <w:spacing w:val="-3"/>
          <w:sz w:val="20"/>
          <w:lang w:val="es-AR"/>
        </w:rPr>
        <w:t xml:space="preserve"> y/o adherentes al mismo. </w:t>
      </w:r>
      <w:r w:rsidR="002A2A7D" w:rsidRPr="00507577">
        <w:rPr>
          <w:rFonts w:ascii="Times New Roman" w:hAnsi="Times New Roman"/>
          <w:iCs/>
          <w:spacing w:val="-3"/>
          <w:sz w:val="20"/>
          <w:lang w:val="es-ES"/>
        </w:rPr>
        <w:t>Los montos parcial o totalmente excluidos de las órdenes de compra en función de la aplicación de los prorrateos y redondeos dispuestos por el SIOPEL y de la metodología de determinación de</w:t>
      </w:r>
      <w:r w:rsidR="0070082F" w:rsidRPr="00507577">
        <w:rPr>
          <w:rFonts w:ascii="Times New Roman" w:hAnsi="Times New Roman"/>
          <w:iCs/>
          <w:spacing w:val="-3"/>
          <w:sz w:val="20"/>
          <w:lang w:val="es-ES"/>
        </w:rPr>
        <w:t xml:space="preserve"> </w:t>
      </w:r>
      <w:r w:rsidR="002A2A7D" w:rsidRPr="00507577">
        <w:rPr>
          <w:rFonts w:ascii="Times New Roman" w:hAnsi="Times New Roman"/>
          <w:iCs/>
          <w:spacing w:val="-3"/>
          <w:sz w:val="20"/>
          <w:lang w:val="es-ES"/>
        </w:rPr>
        <w:t>l</w:t>
      </w:r>
      <w:r w:rsidR="0070082F" w:rsidRPr="00507577">
        <w:rPr>
          <w:rFonts w:ascii="Times New Roman" w:hAnsi="Times New Roman"/>
          <w:iCs/>
          <w:spacing w:val="-3"/>
          <w:sz w:val="20"/>
          <w:lang w:val="es-ES"/>
        </w:rPr>
        <w:t xml:space="preserve">a Tasa Fija Aplicable </w:t>
      </w:r>
      <w:r w:rsidR="008D2546">
        <w:rPr>
          <w:rFonts w:ascii="Times New Roman" w:hAnsi="Times New Roman"/>
          <w:iCs/>
          <w:spacing w:val="-3"/>
          <w:sz w:val="20"/>
          <w:lang w:val="es-ES"/>
        </w:rPr>
        <w:t>Clase 44 y de la Tasa Fija Aplicable Clase 45</w:t>
      </w:r>
      <w:r w:rsidR="002A2A7D" w:rsidRPr="00507577">
        <w:rPr>
          <w:rFonts w:ascii="Times New Roman" w:hAnsi="Times New Roman"/>
          <w:iCs/>
          <w:spacing w:val="-3"/>
          <w:sz w:val="20"/>
          <w:lang w:val="es-ES"/>
        </w:rPr>
        <w:t>,</w:t>
      </w:r>
      <w:r w:rsidR="0070082F" w:rsidRPr="00507577">
        <w:rPr>
          <w:rFonts w:ascii="Times New Roman" w:hAnsi="Times New Roman"/>
          <w:iCs/>
          <w:spacing w:val="-3"/>
          <w:sz w:val="20"/>
          <w:lang w:val="es-ES"/>
        </w:rPr>
        <w:t xml:space="preserve"> </w:t>
      </w:r>
      <w:r w:rsidR="002A2A7D" w:rsidRPr="00507577">
        <w:rPr>
          <w:rFonts w:ascii="Times New Roman" w:hAnsi="Times New Roman"/>
          <w:iCs/>
          <w:spacing w:val="-3"/>
          <w:sz w:val="20"/>
          <w:lang w:val="es-ES"/>
        </w:rPr>
        <w:t xml:space="preserve">quedarán automáticamente sin efecto sin que tal circunstancia genere responsabilidad de ningún tipo para la Emisora ni para </w:t>
      </w:r>
      <w:r w:rsidR="003F6218">
        <w:rPr>
          <w:rFonts w:ascii="Times New Roman" w:hAnsi="Times New Roman"/>
          <w:iCs/>
          <w:spacing w:val="-3"/>
          <w:sz w:val="20"/>
          <w:lang w:val="es-ES"/>
        </w:rPr>
        <w:t xml:space="preserve">los Colocadores </w:t>
      </w:r>
      <w:r w:rsidR="002A2A7D" w:rsidRPr="00507577">
        <w:rPr>
          <w:rFonts w:ascii="Times New Roman" w:hAnsi="Times New Roman"/>
          <w:iCs/>
          <w:spacing w:val="-3"/>
          <w:sz w:val="20"/>
          <w:lang w:val="es-ES"/>
        </w:rPr>
        <w:t>ni</w:t>
      </w:r>
      <w:r w:rsidR="00200915" w:rsidRPr="00507577">
        <w:rPr>
          <w:rFonts w:ascii="Times New Roman" w:hAnsi="Times New Roman"/>
          <w:iCs/>
          <w:spacing w:val="-3"/>
          <w:sz w:val="20"/>
          <w:lang w:val="es-ES"/>
        </w:rPr>
        <w:t xml:space="preserve"> </w:t>
      </w:r>
      <w:r w:rsidR="002A2A7D" w:rsidRPr="00507577">
        <w:rPr>
          <w:rFonts w:ascii="Times New Roman" w:hAnsi="Times New Roman"/>
          <w:iCs/>
          <w:spacing w:val="-3"/>
          <w:sz w:val="20"/>
          <w:lang w:val="es-ES"/>
        </w:rPr>
        <w:t>otorgue</w:t>
      </w:r>
      <w:r w:rsidR="00200915" w:rsidRPr="00507577">
        <w:rPr>
          <w:rFonts w:ascii="Times New Roman" w:hAnsi="Times New Roman"/>
          <w:iCs/>
          <w:spacing w:val="-3"/>
          <w:sz w:val="20"/>
          <w:lang w:val="es-ES"/>
        </w:rPr>
        <w:t xml:space="preserve"> </w:t>
      </w:r>
      <w:r w:rsidR="002A2A7D" w:rsidRPr="00507577">
        <w:rPr>
          <w:rFonts w:ascii="Times New Roman" w:hAnsi="Times New Roman"/>
          <w:iCs/>
          <w:spacing w:val="-3"/>
          <w:sz w:val="20"/>
          <w:lang w:val="es-ES"/>
        </w:rPr>
        <w:t>a</w:t>
      </w:r>
      <w:r w:rsidR="00200915" w:rsidRPr="00507577">
        <w:rPr>
          <w:rFonts w:ascii="Times New Roman" w:hAnsi="Times New Roman"/>
          <w:iCs/>
          <w:spacing w:val="-3"/>
          <w:sz w:val="20"/>
          <w:lang w:val="es-ES"/>
        </w:rPr>
        <w:t xml:space="preserve"> </w:t>
      </w:r>
      <w:r w:rsidR="002A2A7D" w:rsidRPr="00507577">
        <w:rPr>
          <w:rFonts w:ascii="Times New Roman" w:hAnsi="Times New Roman"/>
          <w:iCs/>
          <w:spacing w:val="-3"/>
          <w:sz w:val="20"/>
          <w:lang w:val="es-ES"/>
        </w:rPr>
        <w:t>los</w:t>
      </w:r>
      <w:r w:rsidR="00200915" w:rsidRPr="00507577">
        <w:rPr>
          <w:rFonts w:ascii="Times New Roman" w:hAnsi="Times New Roman"/>
          <w:iCs/>
          <w:spacing w:val="-3"/>
          <w:sz w:val="20"/>
          <w:lang w:val="es-ES"/>
        </w:rPr>
        <w:t xml:space="preserve"> </w:t>
      </w:r>
      <w:r w:rsidR="002A2A7D" w:rsidRPr="00507577">
        <w:rPr>
          <w:rFonts w:ascii="Times New Roman" w:hAnsi="Times New Roman"/>
          <w:iCs/>
          <w:spacing w:val="-3"/>
          <w:sz w:val="20"/>
          <w:lang w:val="es-ES"/>
        </w:rPr>
        <w:t>respectivos</w:t>
      </w:r>
      <w:r w:rsidR="00200915" w:rsidRPr="00507577">
        <w:rPr>
          <w:rFonts w:ascii="Times New Roman" w:hAnsi="Times New Roman"/>
          <w:iCs/>
          <w:spacing w:val="-3"/>
          <w:sz w:val="20"/>
          <w:lang w:val="es-ES"/>
        </w:rPr>
        <w:t xml:space="preserve"> </w:t>
      </w:r>
      <w:r w:rsidR="002A2A7D" w:rsidRPr="00507577">
        <w:rPr>
          <w:rFonts w:ascii="Times New Roman" w:hAnsi="Times New Roman"/>
          <w:iCs/>
          <w:spacing w:val="-3"/>
          <w:sz w:val="20"/>
          <w:lang w:val="es-ES"/>
        </w:rPr>
        <w:t>oferentes</w:t>
      </w:r>
      <w:r w:rsidR="00200915" w:rsidRPr="00507577">
        <w:rPr>
          <w:rFonts w:ascii="Times New Roman" w:hAnsi="Times New Roman"/>
          <w:iCs/>
          <w:spacing w:val="-3"/>
          <w:sz w:val="20"/>
          <w:lang w:val="es-ES"/>
        </w:rPr>
        <w:t xml:space="preserve"> </w:t>
      </w:r>
      <w:r w:rsidR="002A2A7D" w:rsidRPr="00507577">
        <w:rPr>
          <w:rFonts w:ascii="Times New Roman" w:hAnsi="Times New Roman"/>
          <w:iCs/>
          <w:spacing w:val="-3"/>
          <w:sz w:val="20"/>
          <w:lang w:val="es-ES"/>
        </w:rPr>
        <w:t>derecho</w:t>
      </w:r>
      <w:r w:rsidR="00200915" w:rsidRPr="00507577">
        <w:rPr>
          <w:rFonts w:ascii="Times New Roman" w:hAnsi="Times New Roman"/>
          <w:iCs/>
          <w:spacing w:val="-3"/>
          <w:sz w:val="20"/>
          <w:lang w:val="es-ES"/>
        </w:rPr>
        <w:t xml:space="preserve"> </w:t>
      </w:r>
      <w:r w:rsidR="002A2A7D" w:rsidRPr="00507577">
        <w:rPr>
          <w:rFonts w:ascii="Times New Roman" w:hAnsi="Times New Roman"/>
          <w:iCs/>
          <w:spacing w:val="-3"/>
          <w:sz w:val="20"/>
          <w:lang w:val="es-ES"/>
        </w:rPr>
        <w:t>a</w:t>
      </w:r>
      <w:r w:rsidR="00200915" w:rsidRPr="00507577">
        <w:rPr>
          <w:rFonts w:ascii="Times New Roman" w:hAnsi="Times New Roman"/>
          <w:iCs/>
          <w:spacing w:val="-3"/>
          <w:sz w:val="20"/>
          <w:lang w:val="es-ES"/>
        </w:rPr>
        <w:t xml:space="preserve"> </w:t>
      </w:r>
      <w:r w:rsidR="002A2A7D" w:rsidRPr="00507577">
        <w:rPr>
          <w:rFonts w:ascii="Times New Roman" w:hAnsi="Times New Roman"/>
          <w:iCs/>
          <w:spacing w:val="-3"/>
          <w:sz w:val="20"/>
          <w:lang w:val="es-ES"/>
        </w:rPr>
        <w:t>reclamo</w:t>
      </w:r>
      <w:r w:rsidR="00200915" w:rsidRPr="00507577">
        <w:rPr>
          <w:rFonts w:ascii="Times New Roman" w:hAnsi="Times New Roman"/>
          <w:iCs/>
          <w:spacing w:val="-3"/>
          <w:sz w:val="20"/>
          <w:lang w:val="es-ES"/>
        </w:rPr>
        <w:t xml:space="preserve"> </w:t>
      </w:r>
      <w:r w:rsidR="002A2A7D" w:rsidRPr="00507577">
        <w:rPr>
          <w:rFonts w:ascii="Times New Roman" w:hAnsi="Times New Roman"/>
          <w:iCs/>
          <w:spacing w:val="-3"/>
          <w:sz w:val="20"/>
          <w:lang w:val="es-ES"/>
        </w:rPr>
        <w:t>de</w:t>
      </w:r>
      <w:r w:rsidR="00200915" w:rsidRPr="00507577">
        <w:rPr>
          <w:rFonts w:ascii="Times New Roman" w:hAnsi="Times New Roman"/>
          <w:iCs/>
          <w:spacing w:val="-3"/>
          <w:sz w:val="20"/>
          <w:lang w:val="es-ES"/>
        </w:rPr>
        <w:t xml:space="preserve"> </w:t>
      </w:r>
      <w:r w:rsidR="002A2A7D" w:rsidRPr="00507577">
        <w:rPr>
          <w:rFonts w:ascii="Times New Roman" w:hAnsi="Times New Roman"/>
          <w:iCs/>
          <w:spacing w:val="-3"/>
          <w:sz w:val="20"/>
          <w:lang w:val="es-ES"/>
        </w:rPr>
        <w:t>indemnización</w:t>
      </w:r>
      <w:r w:rsidR="00200915" w:rsidRPr="00507577">
        <w:rPr>
          <w:rFonts w:ascii="Times New Roman" w:hAnsi="Times New Roman"/>
          <w:iCs/>
          <w:spacing w:val="-3"/>
          <w:sz w:val="20"/>
          <w:lang w:val="es-ES"/>
        </w:rPr>
        <w:t xml:space="preserve"> </w:t>
      </w:r>
      <w:r w:rsidR="002A2A7D" w:rsidRPr="00507577">
        <w:rPr>
          <w:rFonts w:ascii="Times New Roman" w:hAnsi="Times New Roman"/>
          <w:iCs/>
          <w:spacing w:val="-3"/>
          <w:sz w:val="20"/>
          <w:lang w:val="es-ES"/>
        </w:rPr>
        <w:t>y/o</w:t>
      </w:r>
      <w:r w:rsidR="00200915" w:rsidRPr="00507577">
        <w:rPr>
          <w:rFonts w:ascii="Times New Roman" w:hAnsi="Times New Roman"/>
          <w:iCs/>
          <w:spacing w:val="-3"/>
          <w:sz w:val="20"/>
          <w:lang w:val="es-ES"/>
        </w:rPr>
        <w:t xml:space="preserve"> </w:t>
      </w:r>
      <w:r w:rsidR="002A2A7D" w:rsidRPr="00507577">
        <w:rPr>
          <w:rFonts w:ascii="Times New Roman" w:hAnsi="Times New Roman"/>
          <w:iCs/>
          <w:spacing w:val="-3"/>
          <w:sz w:val="20"/>
          <w:lang w:val="es-ES"/>
        </w:rPr>
        <w:t>a</w:t>
      </w:r>
      <w:r w:rsidR="00200915" w:rsidRPr="00507577">
        <w:rPr>
          <w:rFonts w:ascii="Times New Roman" w:hAnsi="Times New Roman"/>
          <w:iCs/>
          <w:spacing w:val="-3"/>
          <w:sz w:val="20"/>
          <w:lang w:val="es-ES"/>
        </w:rPr>
        <w:t xml:space="preserve"> </w:t>
      </w:r>
      <w:r w:rsidR="002A2A7D" w:rsidRPr="00507577">
        <w:rPr>
          <w:rFonts w:ascii="Times New Roman" w:hAnsi="Times New Roman"/>
          <w:iCs/>
          <w:spacing w:val="-3"/>
          <w:sz w:val="20"/>
          <w:lang w:val="es-ES"/>
        </w:rPr>
        <w:t>compensación</w:t>
      </w:r>
      <w:r w:rsidR="00200915" w:rsidRPr="00507577">
        <w:rPr>
          <w:rFonts w:ascii="Times New Roman" w:hAnsi="Times New Roman"/>
          <w:iCs/>
          <w:spacing w:val="-3"/>
          <w:sz w:val="20"/>
          <w:lang w:val="es-ES"/>
        </w:rPr>
        <w:t xml:space="preserve"> </w:t>
      </w:r>
      <w:r w:rsidR="002A2A7D" w:rsidRPr="00507577">
        <w:rPr>
          <w:rFonts w:ascii="Times New Roman" w:hAnsi="Times New Roman"/>
          <w:iCs/>
          <w:spacing w:val="-3"/>
          <w:sz w:val="20"/>
          <w:lang w:val="es-ES"/>
        </w:rPr>
        <w:t xml:space="preserve">alguna. </w:t>
      </w:r>
      <w:r w:rsidR="006D40DF" w:rsidRPr="00507577">
        <w:rPr>
          <w:rFonts w:ascii="Times New Roman" w:hAnsi="Times New Roman"/>
          <w:spacing w:val="-3"/>
          <w:sz w:val="20"/>
          <w:lang w:val="es-AR"/>
        </w:rPr>
        <w:t>Para mayor información sobre estas y otras cuestiones relativas a la colocación de las Obligaciones Negociables, ver “</w:t>
      </w:r>
      <w:r w:rsidR="003E2207" w:rsidRPr="00507577">
        <w:rPr>
          <w:rFonts w:ascii="Times New Roman" w:hAnsi="Times New Roman"/>
          <w:i/>
          <w:spacing w:val="-3"/>
          <w:sz w:val="20"/>
          <w:lang w:val="es-AR"/>
        </w:rPr>
        <w:t>Plan de Distribución</w:t>
      </w:r>
      <w:r w:rsidR="006D40DF" w:rsidRPr="00507577">
        <w:rPr>
          <w:rFonts w:ascii="Times New Roman" w:hAnsi="Times New Roman"/>
          <w:spacing w:val="-3"/>
          <w:sz w:val="20"/>
          <w:lang w:val="es-AR"/>
        </w:rPr>
        <w:t xml:space="preserve">” del Suplemento de </w:t>
      </w:r>
      <w:r w:rsidR="003E2207" w:rsidRPr="00507577">
        <w:rPr>
          <w:rFonts w:ascii="Times New Roman" w:hAnsi="Times New Roman"/>
          <w:spacing w:val="-3"/>
          <w:sz w:val="20"/>
          <w:lang w:val="es-AR"/>
        </w:rPr>
        <w:t>Prospecto</w:t>
      </w:r>
      <w:r w:rsidR="006D40DF" w:rsidRPr="00507577">
        <w:rPr>
          <w:rFonts w:ascii="Times New Roman" w:hAnsi="Times New Roman"/>
          <w:spacing w:val="-3"/>
          <w:sz w:val="20"/>
          <w:lang w:val="es-AR"/>
        </w:rPr>
        <w:t>.</w:t>
      </w:r>
    </w:p>
    <w:p w14:paraId="51652421" w14:textId="5FFB3E9C" w:rsidR="001E5B26" w:rsidRDefault="006C14EC" w:rsidP="001E5B26">
      <w:pPr>
        <w:pStyle w:val="DPWWriterInfo"/>
        <w:numPr>
          <w:ilvl w:val="0"/>
          <w:numId w:val="3"/>
        </w:numPr>
        <w:tabs>
          <w:tab w:val="clear" w:pos="720"/>
        </w:tabs>
        <w:spacing w:before="120" w:after="0"/>
        <w:ind w:left="-567" w:right="-660" w:firstLine="0"/>
        <w:jc w:val="both"/>
        <w:rPr>
          <w:rFonts w:ascii="Times New Roman" w:hAnsi="Times New Roman"/>
          <w:sz w:val="20"/>
          <w:lang w:val="es-AR"/>
        </w:rPr>
      </w:pPr>
      <w:r w:rsidRPr="00507577">
        <w:rPr>
          <w:rFonts w:ascii="Times New Roman" w:hAnsi="Times New Roman"/>
          <w:b/>
          <w:bCs/>
          <w:sz w:val="20"/>
          <w:u w:val="single"/>
          <w:lang w:val="es-AR"/>
        </w:rPr>
        <w:t>Monto Ofertado</w:t>
      </w:r>
      <w:r w:rsidR="007A60FD" w:rsidRPr="00507577">
        <w:rPr>
          <w:rFonts w:ascii="Times New Roman" w:hAnsi="Times New Roman"/>
          <w:b/>
          <w:bCs/>
          <w:sz w:val="20"/>
          <w:lang w:val="es-AR"/>
        </w:rPr>
        <w:t>:</w:t>
      </w:r>
      <w:r w:rsidR="007A60FD" w:rsidRPr="00507577">
        <w:rPr>
          <w:rFonts w:ascii="Times New Roman" w:hAnsi="Times New Roman"/>
          <w:sz w:val="20"/>
          <w:lang w:val="es-AR"/>
        </w:rPr>
        <w:t xml:space="preserve"> </w:t>
      </w:r>
      <w:bookmarkStart w:id="3" w:name="_Hlk204693768"/>
      <w:r w:rsidRPr="00507577">
        <w:rPr>
          <w:rFonts w:ascii="Times New Roman" w:hAnsi="Times New Roman"/>
          <w:sz w:val="20"/>
          <w:lang w:val="es-AR"/>
        </w:rPr>
        <w:t xml:space="preserve">Las Obligaciones Negociables </w:t>
      </w:r>
      <w:r w:rsidR="002465C5">
        <w:rPr>
          <w:rFonts w:ascii="Times New Roman" w:hAnsi="Times New Roman"/>
          <w:sz w:val="20"/>
          <w:lang w:val="es-AR"/>
        </w:rPr>
        <w:t>no podrán superar, en conjunto, el valor nominal de US$150.000.000</w:t>
      </w:r>
      <w:r w:rsidRPr="00507577">
        <w:rPr>
          <w:rFonts w:ascii="Times New Roman" w:hAnsi="Times New Roman"/>
          <w:sz w:val="20"/>
          <w:lang w:val="es-AR"/>
        </w:rPr>
        <w:t>. El monto de emisión de las Obligaciones Negociables</w:t>
      </w:r>
      <w:r w:rsidR="001E5B26">
        <w:rPr>
          <w:rFonts w:ascii="Times New Roman" w:hAnsi="Times New Roman"/>
          <w:sz w:val="20"/>
          <w:lang w:val="es-AR"/>
        </w:rPr>
        <w:t xml:space="preserve"> </w:t>
      </w:r>
      <w:r w:rsidRPr="00507577">
        <w:rPr>
          <w:rFonts w:ascii="Times New Roman" w:hAnsi="Times New Roman"/>
          <w:sz w:val="20"/>
          <w:lang w:val="es-AR"/>
        </w:rPr>
        <w:t>será el que resulte del proceso de colocación descripto en el Suplemento de Prospecto y determinado con anterioridad a la Fecha de Emisión y Liquidación e informado oportunamente a través del Aviso de Resultados</w:t>
      </w:r>
      <w:r w:rsidR="007A60FD" w:rsidRPr="00507577">
        <w:rPr>
          <w:rFonts w:ascii="Times New Roman" w:hAnsi="Times New Roman"/>
          <w:spacing w:val="-3"/>
          <w:sz w:val="20"/>
          <w:lang w:val="es-AR"/>
        </w:rPr>
        <w:t>.</w:t>
      </w:r>
      <w:bookmarkEnd w:id="3"/>
    </w:p>
    <w:p w14:paraId="1DF4C791" w14:textId="0158FCF9" w:rsidR="003B7B92" w:rsidRDefault="003B7B92" w:rsidP="001E5B26">
      <w:pPr>
        <w:pStyle w:val="DPWWriterInfo"/>
        <w:numPr>
          <w:ilvl w:val="0"/>
          <w:numId w:val="3"/>
        </w:numPr>
        <w:tabs>
          <w:tab w:val="clear" w:pos="720"/>
        </w:tabs>
        <w:spacing w:before="120" w:after="0"/>
        <w:ind w:left="-567" w:right="-660" w:firstLine="0"/>
        <w:jc w:val="both"/>
        <w:rPr>
          <w:rFonts w:ascii="Times New Roman" w:hAnsi="Times New Roman"/>
          <w:sz w:val="20"/>
          <w:lang w:val="es-AR"/>
        </w:rPr>
      </w:pPr>
      <w:r>
        <w:rPr>
          <w:rFonts w:ascii="Times New Roman" w:hAnsi="Times New Roman"/>
          <w:b/>
          <w:bCs/>
          <w:sz w:val="20"/>
          <w:u w:val="single"/>
          <w:lang w:val="es-AR"/>
        </w:rPr>
        <w:t xml:space="preserve">Forma de los </w:t>
      </w:r>
      <w:r w:rsidR="001E5B26" w:rsidRPr="001E5B26">
        <w:rPr>
          <w:rFonts w:ascii="Times New Roman" w:hAnsi="Times New Roman"/>
          <w:b/>
          <w:bCs/>
          <w:sz w:val="20"/>
          <w:u w:val="single"/>
          <w:lang w:val="es-AR"/>
        </w:rPr>
        <w:t>Pagos:</w:t>
      </w:r>
      <w:r w:rsidR="001E5B26" w:rsidRPr="001E5B26">
        <w:rPr>
          <w:rFonts w:ascii="Times New Roman" w:hAnsi="Times New Roman"/>
          <w:sz w:val="20"/>
          <w:lang w:val="es-AR"/>
        </w:rPr>
        <w:t xml:space="preserve"> </w:t>
      </w:r>
      <w:bookmarkStart w:id="4" w:name="_Hlk204694078"/>
      <w:r w:rsidR="001E5B26" w:rsidRPr="001E5B26">
        <w:rPr>
          <w:rFonts w:ascii="Times New Roman" w:hAnsi="Times New Roman"/>
          <w:sz w:val="20"/>
          <w:lang w:val="es-AR"/>
        </w:rPr>
        <w:t xml:space="preserve">Todos los pagos serán efectuados por el Banco mediante transferencia de los importes correspondientes a Caja de Valores para su acreditación en las respectivas cuentas de los tenedores de Obligaciones Negociables con derecho a cobro que tengan registradas sus tenencias al cierre del Día Hábil anterior a la fecha de pago que corresponda (los “Tenedores”) y de acuerdo a los procedimientos de CVSA y de sus participantes directos (incluido </w:t>
      </w:r>
      <w:proofErr w:type="spellStart"/>
      <w:r w:rsidR="001E5B26" w:rsidRPr="001E5B26">
        <w:rPr>
          <w:rFonts w:ascii="Times New Roman" w:hAnsi="Times New Roman"/>
          <w:sz w:val="20"/>
          <w:lang w:val="es-AR"/>
        </w:rPr>
        <w:t>Euroclear</w:t>
      </w:r>
      <w:proofErr w:type="spellEnd"/>
      <w:r w:rsidR="001E5B26" w:rsidRPr="001E5B26">
        <w:rPr>
          <w:rFonts w:ascii="Times New Roman" w:hAnsi="Times New Roman"/>
          <w:sz w:val="20"/>
          <w:lang w:val="es-AR"/>
        </w:rPr>
        <w:t>), si correspondiera</w:t>
      </w:r>
      <w:r w:rsidR="001E5B26">
        <w:rPr>
          <w:rFonts w:ascii="Times New Roman" w:hAnsi="Times New Roman"/>
          <w:sz w:val="20"/>
          <w:lang w:val="es-AR"/>
        </w:rPr>
        <w:t xml:space="preserve">. </w:t>
      </w:r>
    </w:p>
    <w:p w14:paraId="522CEC64" w14:textId="50BB0495" w:rsidR="003B7B92" w:rsidRPr="003B7B92" w:rsidRDefault="003B7B92" w:rsidP="00071F1A">
      <w:pPr>
        <w:pStyle w:val="DPWWriterInfo"/>
        <w:spacing w:before="120" w:after="0"/>
        <w:ind w:left="-567" w:right="-660"/>
        <w:jc w:val="both"/>
        <w:rPr>
          <w:rFonts w:ascii="Times New Roman" w:hAnsi="Times New Roman"/>
          <w:sz w:val="20"/>
          <w:lang w:val="es-AR"/>
        </w:rPr>
      </w:pPr>
      <w:r w:rsidRPr="003B7B92">
        <w:rPr>
          <w:rFonts w:ascii="Times New Roman" w:hAnsi="Times New Roman"/>
          <w:spacing w:val="-3"/>
          <w:sz w:val="20"/>
          <w:lang w:val="es-ES"/>
        </w:rPr>
        <w:t>“</w:t>
      </w:r>
      <w:r w:rsidRPr="003B7B92">
        <w:rPr>
          <w:rFonts w:ascii="Times New Roman" w:hAnsi="Times New Roman"/>
          <w:bCs/>
          <w:spacing w:val="-3"/>
          <w:sz w:val="20"/>
          <w:u w:val="single"/>
          <w:lang w:val="es-ES"/>
        </w:rPr>
        <w:t>Día Hábil</w:t>
      </w:r>
      <w:r w:rsidRPr="003B7B92">
        <w:rPr>
          <w:rFonts w:ascii="Times New Roman" w:hAnsi="Times New Roman"/>
          <w:spacing w:val="-3"/>
          <w:sz w:val="20"/>
          <w:lang w:val="es-ES"/>
        </w:rPr>
        <w:t xml:space="preserve">” significa cualquier día que no sea sábado, domingo o cualquier otro día en el cual los bancos comerciales </w:t>
      </w:r>
      <w:r w:rsidR="00DE1669">
        <w:rPr>
          <w:rFonts w:ascii="Times New Roman" w:hAnsi="Times New Roman"/>
          <w:spacing w:val="-3"/>
          <w:sz w:val="20"/>
          <w:lang w:val="es-ES"/>
        </w:rPr>
        <w:t xml:space="preserve">de la Ciudad Autónoma de Buenos Aires </w:t>
      </w:r>
      <w:r w:rsidRPr="003B7B92">
        <w:rPr>
          <w:rFonts w:ascii="Times New Roman" w:hAnsi="Times New Roman"/>
          <w:spacing w:val="-3"/>
          <w:sz w:val="20"/>
          <w:lang w:val="es-ES"/>
        </w:rPr>
        <w:t xml:space="preserve">y/o los mercados de valores autorizados </w:t>
      </w:r>
      <w:r w:rsidR="00DE1669">
        <w:rPr>
          <w:rFonts w:ascii="Times New Roman" w:hAnsi="Times New Roman"/>
          <w:spacing w:val="-3"/>
          <w:sz w:val="20"/>
          <w:lang w:val="es-ES"/>
        </w:rPr>
        <w:t xml:space="preserve">en que se listen y/o negocien las Obligaciones Negociables </w:t>
      </w:r>
      <w:r w:rsidRPr="003B7B92">
        <w:rPr>
          <w:rFonts w:ascii="Times New Roman" w:hAnsi="Times New Roman"/>
          <w:spacing w:val="-3"/>
          <w:sz w:val="20"/>
          <w:lang w:val="es-ES"/>
        </w:rPr>
        <w:t>estuvieran autorizados o requeridos por las normas vigentes a cerrar en la Ciudad Autónoma de Buenos Aires o que, de otra forma, no estuvieran abiertos para operar.</w:t>
      </w:r>
      <w:r w:rsidRPr="003B7B92">
        <w:rPr>
          <w:rFonts w:ascii="Times New Roman" w:hAnsi="Times New Roman"/>
          <w:spacing w:val="-3"/>
          <w:sz w:val="20"/>
          <w:lang w:val="es-AR"/>
        </w:rPr>
        <w:t xml:space="preserve"> </w:t>
      </w:r>
    </w:p>
    <w:p w14:paraId="6A51270E" w14:textId="558E84F2" w:rsidR="001E5B26" w:rsidRPr="00507577" w:rsidRDefault="001E5B26" w:rsidP="00D70E18">
      <w:pPr>
        <w:pStyle w:val="DPWWriterInfo"/>
        <w:spacing w:before="120" w:after="0"/>
        <w:ind w:left="-567" w:right="-660"/>
        <w:jc w:val="both"/>
        <w:rPr>
          <w:rFonts w:ascii="Times New Roman" w:hAnsi="Times New Roman"/>
          <w:sz w:val="20"/>
          <w:lang w:val="es-AR"/>
        </w:rPr>
      </w:pPr>
      <w:r w:rsidRPr="00507577">
        <w:rPr>
          <w:rFonts w:ascii="Times New Roman" w:hAnsi="Times New Roman"/>
          <w:sz w:val="20"/>
          <w:lang w:val="es-AR"/>
        </w:rPr>
        <w:t>Si cualquier día de pago de cualquier monto bajo las Obligaciones Negociables</w:t>
      </w:r>
      <w:r w:rsidR="003B7B92" w:rsidRPr="00507577">
        <w:rPr>
          <w:rFonts w:ascii="Times New Roman" w:hAnsi="Times New Roman"/>
          <w:sz w:val="20"/>
          <w:lang w:val="es-AR"/>
        </w:rPr>
        <w:t xml:space="preserve"> </w:t>
      </w:r>
      <w:r w:rsidRPr="00507577">
        <w:rPr>
          <w:rFonts w:ascii="Times New Roman" w:hAnsi="Times New Roman"/>
          <w:sz w:val="20"/>
          <w:lang w:val="es-AR"/>
        </w:rPr>
        <w:t xml:space="preserve">no fuera un Día Hábil, dicho pago será efectuado en el Día Hábil inmediatamente posterior. Cualquier pago adeudado bajo las Obligaciones Negociables efectuado en dicho Día Hábil inmediatamente posterior tendrá la misma validez y efecto que si hubiera sido efectuado en la fecha en la cual vencía el mismo, y no se devengarán intereses durante el período comprendido entre dicha fecha y el Día Hábil inmediato posterior, estableciéndose, sin embargo, que si la Fecha de Vencimiento de las Obligaciones </w:t>
      </w:r>
      <w:r w:rsidRPr="00507577">
        <w:rPr>
          <w:rFonts w:ascii="Times New Roman" w:hAnsi="Times New Roman"/>
          <w:sz w:val="20"/>
          <w:lang w:val="es-AR"/>
        </w:rPr>
        <w:lastRenderedPageBreak/>
        <w:t>Negociables fuera un día inhábil, sí se devengarán intereses durante el período comprendido entre dicha fecha y el Día Hábil inmediato posterior</w:t>
      </w:r>
      <w:bookmarkEnd w:id="4"/>
      <w:r w:rsidRPr="00507577">
        <w:rPr>
          <w:rFonts w:ascii="Times New Roman" w:hAnsi="Times New Roman"/>
          <w:sz w:val="20"/>
          <w:lang w:val="es-AR"/>
        </w:rPr>
        <w:t>.</w:t>
      </w:r>
    </w:p>
    <w:p w14:paraId="132F243E" w14:textId="77777777" w:rsidR="007A60FD" w:rsidRDefault="007A60FD" w:rsidP="003317D9">
      <w:pPr>
        <w:pStyle w:val="DPWWriterInfo"/>
        <w:numPr>
          <w:ilvl w:val="0"/>
          <w:numId w:val="3"/>
        </w:numPr>
        <w:tabs>
          <w:tab w:val="clear" w:pos="720"/>
          <w:tab w:val="num" w:pos="0"/>
        </w:tabs>
        <w:spacing w:before="120" w:after="0"/>
        <w:ind w:left="-567" w:right="-660" w:firstLine="0"/>
        <w:jc w:val="both"/>
        <w:rPr>
          <w:rFonts w:ascii="Times New Roman" w:hAnsi="Times New Roman"/>
          <w:sz w:val="20"/>
          <w:lang w:val="es-AR"/>
        </w:rPr>
      </w:pPr>
      <w:r w:rsidRPr="00507577">
        <w:rPr>
          <w:rFonts w:ascii="Times New Roman" w:hAnsi="Times New Roman"/>
          <w:b/>
          <w:bCs/>
          <w:sz w:val="20"/>
          <w:u w:val="single"/>
          <w:lang w:val="es-AR"/>
        </w:rPr>
        <w:t xml:space="preserve">Precio de </w:t>
      </w:r>
      <w:r w:rsidR="00B36FA3" w:rsidRPr="00507577">
        <w:rPr>
          <w:rFonts w:ascii="Times New Roman" w:hAnsi="Times New Roman"/>
          <w:b/>
          <w:bCs/>
          <w:sz w:val="20"/>
          <w:u w:val="single"/>
          <w:lang w:val="es-AR"/>
        </w:rPr>
        <w:t>Emisión</w:t>
      </w:r>
      <w:r w:rsidRPr="00507577">
        <w:rPr>
          <w:rFonts w:ascii="Times New Roman" w:hAnsi="Times New Roman"/>
          <w:b/>
          <w:bCs/>
          <w:sz w:val="20"/>
          <w:lang w:val="es-AR"/>
        </w:rPr>
        <w:t>:</w:t>
      </w:r>
      <w:r w:rsidRPr="00507577">
        <w:rPr>
          <w:rFonts w:ascii="Times New Roman" w:hAnsi="Times New Roman"/>
          <w:sz w:val="20"/>
          <w:lang w:val="es-AR"/>
        </w:rPr>
        <w:t xml:space="preserve"> 100% del valor nominal (a la par).</w:t>
      </w:r>
    </w:p>
    <w:p w14:paraId="1B2A6910" w14:textId="45CD08E5" w:rsidR="000756A4" w:rsidRDefault="007A60FD" w:rsidP="003317D9">
      <w:pPr>
        <w:pStyle w:val="DPWWriterInfo"/>
        <w:numPr>
          <w:ilvl w:val="0"/>
          <w:numId w:val="3"/>
        </w:numPr>
        <w:tabs>
          <w:tab w:val="clear" w:pos="720"/>
          <w:tab w:val="num" w:pos="0"/>
        </w:tabs>
        <w:spacing w:before="120" w:after="0"/>
        <w:ind w:left="-567" w:right="-660" w:firstLine="0"/>
        <w:jc w:val="both"/>
        <w:rPr>
          <w:rFonts w:ascii="Times New Roman" w:hAnsi="Times New Roman"/>
          <w:sz w:val="20"/>
          <w:lang w:val="es-AR"/>
        </w:rPr>
      </w:pPr>
      <w:r w:rsidRPr="00507577">
        <w:rPr>
          <w:rFonts w:ascii="Times New Roman" w:hAnsi="Times New Roman"/>
          <w:b/>
          <w:bCs/>
          <w:sz w:val="20"/>
          <w:u w:val="single"/>
          <w:lang w:val="es-AR"/>
        </w:rPr>
        <w:t>Fecha de Emisión</w:t>
      </w:r>
      <w:r w:rsidR="000279F1" w:rsidRPr="00507577">
        <w:rPr>
          <w:rFonts w:ascii="Times New Roman" w:hAnsi="Times New Roman"/>
          <w:b/>
          <w:bCs/>
          <w:sz w:val="20"/>
          <w:u w:val="single"/>
          <w:lang w:val="es-AR"/>
        </w:rPr>
        <w:t xml:space="preserve"> y Liquidación</w:t>
      </w:r>
      <w:r w:rsidRPr="00507577">
        <w:rPr>
          <w:rFonts w:ascii="Times New Roman" w:hAnsi="Times New Roman"/>
          <w:b/>
          <w:bCs/>
          <w:sz w:val="20"/>
          <w:lang w:val="es-AR"/>
        </w:rPr>
        <w:t>:</w:t>
      </w:r>
      <w:r w:rsidRPr="00507577">
        <w:rPr>
          <w:rFonts w:ascii="Times New Roman" w:hAnsi="Times New Roman"/>
          <w:sz w:val="20"/>
          <w:lang w:val="es-AR"/>
        </w:rPr>
        <w:t xml:space="preserve"> </w:t>
      </w:r>
      <w:r w:rsidR="00BB0277" w:rsidRPr="00507577">
        <w:rPr>
          <w:rFonts w:ascii="Times New Roman" w:hAnsi="Times New Roman"/>
          <w:sz w:val="20"/>
          <w:lang w:val="es-AR"/>
        </w:rPr>
        <w:t>S</w:t>
      </w:r>
      <w:r w:rsidR="00A21E03" w:rsidRPr="00507577">
        <w:rPr>
          <w:rFonts w:ascii="Times New Roman" w:hAnsi="Times New Roman"/>
          <w:sz w:val="20"/>
          <w:lang w:val="es-AR"/>
        </w:rPr>
        <w:t>erá el</w:t>
      </w:r>
      <w:r w:rsidR="00D67BCA" w:rsidRPr="00507577">
        <w:rPr>
          <w:rFonts w:ascii="Times New Roman" w:hAnsi="Times New Roman"/>
          <w:sz w:val="20"/>
          <w:lang w:val="es-AR"/>
        </w:rPr>
        <w:t xml:space="preserve"> </w:t>
      </w:r>
      <w:bookmarkStart w:id="5" w:name="_Hlk204693846"/>
      <w:r w:rsidR="00364CCD">
        <w:rPr>
          <w:rFonts w:ascii="Times New Roman" w:hAnsi="Times New Roman"/>
          <w:sz w:val="20"/>
          <w:lang w:val="es-AR"/>
        </w:rPr>
        <w:t xml:space="preserve">8 </w:t>
      </w:r>
      <w:r w:rsidR="005A3F7E">
        <w:rPr>
          <w:rFonts w:ascii="Times New Roman" w:hAnsi="Times New Roman"/>
          <w:sz w:val="20"/>
          <w:lang w:val="es-AR"/>
        </w:rPr>
        <w:t xml:space="preserve">de </w:t>
      </w:r>
      <w:r w:rsidR="00364CCD">
        <w:rPr>
          <w:rFonts w:ascii="Times New Roman" w:hAnsi="Times New Roman"/>
          <w:sz w:val="20"/>
          <w:lang w:val="es-AR"/>
        </w:rPr>
        <w:t>mayo</w:t>
      </w:r>
      <w:r w:rsidR="00364CCD" w:rsidRPr="00507577">
        <w:rPr>
          <w:rFonts w:ascii="Times New Roman" w:hAnsi="Times New Roman"/>
          <w:sz w:val="20"/>
          <w:lang w:val="es-AR"/>
        </w:rPr>
        <w:t xml:space="preserve"> </w:t>
      </w:r>
      <w:r w:rsidR="003B7B92" w:rsidRPr="00507577">
        <w:rPr>
          <w:rFonts w:ascii="Times New Roman" w:hAnsi="Times New Roman"/>
          <w:sz w:val="20"/>
          <w:lang w:val="es-AR"/>
        </w:rPr>
        <w:t xml:space="preserve">de </w:t>
      </w:r>
      <w:bookmarkEnd w:id="5"/>
      <w:r w:rsidR="005A3F7E" w:rsidRPr="00507577">
        <w:rPr>
          <w:rFonts w:ascii="Times New Roman" w:hAnsi="Times New Roman"/>
          <w:sz w:val="20"/>
          <w:lang w:val="es-AR"/>
        </w:rPr>
        <w:t>202</w:t>
      </w:r>
      <w:r w:rsidR="005A3F7E">
        <w:rPr>
          <w:rFonts w:ascii="Times New Roman" w:hAnsi="Times New Roman"/>
          <w:sz w:val="20"/>
          <w:lang w:val="es-AR"/>
        </w:rPr>
        <w:t>6</w:t>
      </w:r>
      <w:r w:rsidR="00A21E03" w:rsidRPr="00507577">
        <w:rPr>
          <w:rFonts w:ascii="Times New Roman" w:hAnsi="Times New Roman"/>
          <w:sz w:val="20"/>
          <w:lang w:val="es-AR"/>
        </w:rPr>
        <w:t>.</w:t>
      </w:r>
    </w:p>
    <w:p w14:paraId="06052066" w14:textId="49CB2A4E" w:rsidR="00E2148E" w:rsidRPr="00D70E18" w:rsidRDefault="00E2148E" w:rsidP="00D70E18">
      <w:pPr>
        <w:pStyle w:val="DPWWriterInfo"/>
        <w:numPr>
          <w:ilvl w:val="0"/>
          <w:numId w:val="3"/>
        </w:numPr>
        <w:tabs>
          <w:tab w:val="clear" w:pos="720"/>
          <w:tab w:val="num" w:pos="0"/>
        </w:tabs>
        <w:spacing w:before="120" w:after="120"/>
        <w:ind w:left="-567" w:right="-660" w:firstLine="0"/>
        <w:jc w:val="both"/>
        <w:rPr>
          <w:sz w:val="20"/>
          <w:lang w:val="es-AR"/>
        </w:rPr>
      </w:pPr>
      <w:bookmarkStart w:id="6" w:name="_Hlk204695200"/>
      <w:r w:rsidRPr="00D70E18">
        <w:rPr>
          <w:rFonts w:ascii="Times New Roman" w:hAnsi="Times New Roman"/>
          <w:b/>
          <w:iCs/>
          <w:sz w:val="20"/>
          <w:u w:val="single"/>
          <w:lang w:val="es-AR"/>
        </w:rPr>
        <w:t>Tramo Competitivo y Tramo No Competitivo:</w:t>
      </w:r>
      <w:r w:rsidRPr="00D70E18">
        <w:rPr>
          <w:rFonts w:ascii="Times New Roman" w:hAnsi="Times New Roman"/>
          <w:b/>
          <w:iCs/>
          <w:sz w:val="20"/>
          <w:lang w:val="es-AR"/>
        </w:rPr>
        <w:t xml:space="preserve"> </w:t>
      </w:r>
      <w:r w:rsidRPr="00D70E18">
        <w:rPr>
          <w:rFonts w:ascii="Times New Roman" w:hAnsi="Times New Roman"/>
          <w:bCs/>
          <w:iCs/>
          <w:sz w:val="20"/>
          <w:lang w:val="es-AR"/>
        </w:rPr>
        <w:t>La oferta constará de un tramo competitivo (el “</w:t>
      </w:r>
      <w:r w:rsidRPr="00D70E18">
        <w:rPr>
          <w:rFonts w:ascii="Times New Roman" w:hAnsi="Times New Roman"/>
          <w:bCs/>
          <w:iCs/>
          <w:sz w:val="20"/>
          <w:u w:val="single"/>
          <w:lang w:val="es-AR"/>
        </w:rPr>
        <w:t>Tramo Competitivo</w:t>
      </w:r>
      <w:r w:rsidRPr="00D70E18">
        <w:rPr>
          <w:rFonts w:ascii="Times New Roman" w:hAnsi="Times New Roman"/>
          <w:bCs/>
          <w:iCs/>
          <w:sz w:val="20"/>
          <w:lang w:val="es-AR"/>
        </w:rPr>
        <w:t>”) y de un tramo no competitivo (el “</w:t>
      </w:r>
      <w:r w:rsidRPr="00D70E18">
        <w:rPr>
          <w:rFonts w:ascii="Times New Roman" w:hAnsi="Times New Roman"/>
          <w:bCs/>
          <w:iCs/>
          <w:sz w:val="20"/>
          <w:u w:val="single"/>
          <w:lang w:val="es-AR"/>
        </w:rPr>
        <w:t>Tramo No Competitivo</w:t>
      </w:r>
      <w:r w:rsidRPr="00D70E18">
        <w:rPr>
          <w:rFonts w:ascii="Times New Roman" w:hAnsi="Times New Roman"/>
          <w:bCs/>
          <w:iCs/>
          <w:sz w:val="20"/>
          <w:lang w:val="es-AR"/>
        </w:rPr>
        <w:t>”). Las Órdenes de Compra remitidas bajo el Tramo Competitivo deberán indefectiblemente incluir la Tasa Fija Solicitada</w:t>
      </w:r>
      <w:r w:rsidR="008D2546">
        <w:rPr>
          <w:rFonts w:ascii="Times New Roman" w:hAnsi="Times New Roman"/>
          <w:bCs/>
          <w:iCs/>
          <w:sz w:val="20"/>
          <w:lang w:val="es-AR"/>
        </w:rPr>
        <w:t xml:space="preserve"> Clase 44 y/o la Tasa Fija Solicitada Clase 45, según corresponda</w:t>
      </w:r>
      <w:r w:rsidRPr="00D70E18">
        <w:rPr>
          <w:rFonts w:ascii="Times New Roman" w:hAnsi="Times New Roman"/>
          <w:bCs/>
          <w:iCs/>
          <w:sz w:val="20"/>
          <w:lang w:val="es-AR"/>
        </w:rPr>
        <w:t>, mientras que aquellas que se presenten bajo el Tramo No Competitivo no incluirán dicha</w:t>
      </w:r>
      <w:r w:rsidR="008D2546">
        <w:rPr>
          <w:rFonts w:ascii="Times New Roman" w:hAnsi="Times New Roman"/>
          <w:bCs/>
          <w:iCs/>
          <w:sz w:val="20"/>
          <w:lang w:val="es-AR"/>
        </w:rPr>
        <w:t>s</w:t>
      </w:r>
      <w:r w:rsidRPr="00D70E18">
        <w:rPr>
          <w:rFonts w:ascii="Times New Roman" w:hAnsi="Times New Roman"/>
          <w:bCs/>
          <w:iCs/>
          <w:sz w:val="20"/>
          <w:lang w:val="es-AR"/>
        </w:rPr>
        <w:t xml:space="preserve"> variable</w:t>
      </w:r>
      <w:r w:rsidR="008D2546">
        <w:rPr>
          <w:rFonts w:ascii="Times New Roman" w:hAnsi="Times New Roman"/>
          <w:bCs/>
          <w:iCs/>
          <w:sz w:val="20"/>
          <w:lang w:val="es-AR"/>
        </w:rPr>
        <w:t>s</w:t>
      </w:r>
      <w:r w:rsidRPr="00D70E18">
        <w:rPr>
          <w:rFonts w:ascii="Times New Roman" w:hAnsi="Times New Roman"/>
          <w:bCs/>
          <w:iCs/>
          <w:sz w:val="20"/>
          <w:lang w:val="es-AR"/>
        </w:rPr>
        <w:t>.</w:t>
      </w:r>
    </w:p>
    <w:p w14:paraId="7C2F1809" w14:textId="7B8C57A0" w:rsidR="00E2148E" w:rsidRPr="00D70E18" w:rsidRDefault="00E2148E" w:rsidP="00D70E18">
      <w:pPr>
        <w:pStyle w:val="ListParagraph"/>
        <w:numPr>
          <w:ilvl w:val="1"/>
          <w:numId w:val="3"/>
        </w:numPr>
        <w:tabs>
          <w:tab w:val="clear" w:pos="1440"/>
          <w:tab w:val="left" w:pos="0"/>
          <w:tab w:val="num" w:pos="1134"/>
        </w:tabs>
        <w:spacing w:before="120" w:after="120"/>
        <w:ind w:left="283" w:hanging="357"/>
        <w:jc w:val="both"/>
        <w:rPr>
          <w:bCs/>
          <w:iCs/>
          <w:sz w:val="20"/>
          <w:szCs w:val="20"/>
          <w:lang w:val="es-AR"/>
        </w:rPr>
      </w:pPr>
      <w:r w:rsidRPr="00E2148E">
        <w:rPr>
          <w:bCs/>
          <w:iCs/>
          <w:sz w:val="20"/>
          <w:szCs w:val="20"/>
          <w:u w:val="single"/>
          <w:lang w:val="es-AR"/>
        </w:rPr>
        <w:t>Tramo No Competitivo</w:t>
      </w:r>
      <w:r w:rsidRPr="00E2148E">
        <w:rPr>
          <w:bCs/>
          <w:iCs/>
          <w:sz w:val="20"/>
          <w:szCs w:val="20"/>
          <w:lang w:val="es-AR"/>
        </w:rPr>
        <w:t>: podrán participar del Tramo No Competitivo los inversores interesados que fueran personas humanas o jurídicas y remitieran Órdenes de Compra de Obligaciones Negociables que no indiquen Tasa Fija Solicitada</w:t>
      </w:r>
      <w:r w:rsidR="008D2546">
        <w:rPr>
          <w:bCs/>
          <w:iCs/>
          <w:sz w:val="20"/>
          <w:szCs w:val="20"/>
          <w:lang w:val="es-AR"/>
        </w:rPr>
        <w:t xml:space="preserve"> Clase 44 y/o Tasa Fija Solicitada Clase 45</w:t>
      </w:r>
      <w:r w:rsidRPr="00E2148E">
        <w:rPr>
          <w:bCs/>
          <w:iCs/>
          <w:sz w:val="20"/>
          <w:szCs w:val="20"/>
          <w:lang w:val="es-AR"/>
        </w:rPr>
        <w:t>, por un valor nominal de hasta US$100.000, en forma individual o conjunta de todas las Órdenes de Compra que fueran remitidas por el mismo inversor interesado. Aquellas ofertas remitidas bajo esta modalidad serán consideradas, a todos los efectos, como ofertas irrevocables y en firme. Las ofertas que conformen el Tramo No Competitivo no se tomarán en cuenta para la determinación de la Tasa Fija Aplicable</w:t>
      </w:r>
      <w:r w:rsidR="008D2546">
        <w:rPr>
          <w:bCs/>
          <w:iCs/>
          <w:sz w:val="20"/>
          <w:szCs w:val="20"/>
          <w:lang w:val="es-AR"/>
        </w:rPr>
        <w:t xml:space="preserve"> Clase 44 o de la Tasa Fija Aplicable Clase 45, según corresponda</w:t>
      </w:r>
      <w:r w:rsidRPr="00E2148E">
        <w:rPr>
          <w:bCs/>
          <w:iCs/>
          <w:sz w:val="20"/>
          <w:szCs w:val="20"/>
          <w:lang w:val="es-AR"/>
        </w:rPr>
        <w:t>. La totalidad de Obligaciones Negociables adjudicadas al Tramo No Competitivo no podrá superar el 50% de las Obligaciones Negociables a emitirse.</w:t>
      </w:r>
    </w:p>
    <w:p w14:paraId="35BA06C2" w14:textId="520A99D2" w:rsidR="00E2148E" w:rsidRPr="00E2148E" w:rsidRDefault="00E2148E" w:rsidP="00D70E18">
      <w:pPr>
        <w:pStyle w:val="ListParagraph"/>
        <w:numPr>
          <w:ilvl w:val="1"/>
          <w:numId w:val="3"/>
        </w:numPr>
        <w:tabs>
          <w:tab w:val="clear" w:pos="1440"/>
          <w:tab w:val="left" w:pos="0"/>
          <w:tab w:val="num" w:pos="1134"/>
        </w:tabs>
        <w:spacing w:before="120" w:after="120"/>
        <w:ind w:left="283" w:hanging="357"/>
        <w:jc w:val="both"/>
        <w:rPr>
          <w:bCs/>
          <w:iCs/>
          <w:sz w:val="20"/>
          <w:szCs w:val="20"/>
          <w:lang w:val="es-AR"/>
        </w:rPr>
      </w:pPr>
      <w:r w:rsidRPr="00E2148E">
        <w:rPr>
          <w:bCs/>
          <w:iCs/>
          <w:sz w:val="20"/>
          <w:u w:val="single"/>
          <w:lang w:val="es-AR"/>
        </w:rPr>
        <w:t>Tramo Competitivo</w:t>
      </w:r>
      <w:r w:rsidRPr="00E2148E">
        <w:rPr>
          <w:bCs/>
          <w:iCs/>
          <w:sz w:val="20"/>
          <w:lang w:val="es-AR"/>
        </w:rPr>
        <w:t>: podrán participar en el Tramo Competitivo los inversores interesados que fueran personas humanas o jurídicas y remitieran, una o más Órdenes de Compra que contengan Monto Solicitado</w:t>
      </w:r>
      <w:r w:rsidR="008D2546">
        <w:rPr>
          <w:bCs/>
          <w:iCs/>
          <w:sz w:val="20"/>
          <w:lang w:val="es-AR"/>
        </w:rPr>
        <w:t xml:space="preserve"> y</w:t>
      </w:r>
      <w:r w:rsidRPr="00E2148E">
        <w:rPr>
          <w:bCs/>
          <w:iCs/>
          <w:sz w:val="20"/>
          <w:lang w:val="es-AR"/>
        </w:rPr>
        <w:t xml:space="preserve"> Tasa Fija Solicitada</w:t>
      </w:r>
      <w:r w:rsidR="008D2546">
        <w:rPr>
          <w:bCs/>
          <w:iCs/>
          <w:sz w:val="20"/>
          <w:lang w:val="es-AR"/>
        </w:rPr>
        <w:t xml:space="preserve"> Clase 44 o Tasa Fija Solicitada Clase 45</w:t>
      </w:r>
      <w:r w:rsidRPr="00E2148E">
        <w:rPr>
          <w:bCs/>
          <w:iCs/>
          <w:sz w:val="20"/>
          <w:lang w:val="es-AR"/>
        </w:rPr>
        <w:t>, incluso cuando sean distintos entre las distintas Órdenes de Compra del mismo inversor interesado, pudiendo quedar adjudicadas una, todas, o ninguna de las Órdenes de Compra remitidas, de conformidad con el procedimiento que se describe en el Suplemento de Prospecto.</w:t>
      </w:r>
    </w:p>
    <w:p w14:paraId="1353F483" w14:textId="041F6EBD" w:rsidR="006C347F" w:rsidRDefault="006C347F" w:rsidP="002B34A1">
      <w:pPr>
        <w:pStyle w:val="DPWWriterInfo"/>
        <w:numPr>
          <w:ilvl w:val="0"/>
          <w:numId w:val="3"/>
        </w:numPr>
        <w:tabs>
          <w:tab w:val="clear" w:pos="720"/>
        </w:tabs>
        <w:spacing w:before="0" w:after="120"/>
        <w:ind w:left="-567" w:right="-658" w:firstLine="0"/>
        <w:jc w:val="both"/>
        <w:rPr>
          <w:rFonts w:ascii="Times New Roman" w:hAnsi="Times New Roman"/>
          <w:sz w:val="20"/>
          <w:lang w:val="es-AR"/>
        </w:rPr>
      </w:pPr>
      <w:r w:rsidRPr="002B34A1">
        <w:rPr>
          <w:rFonts w:ascii="Times New Roman" w:hAnsi="Times New Roman"/>
          <w:b/>
          <w:bCs/>
          <w:sz w:val="20"/>
          <w:u w:val="single"/>
          <w:lang w:val="es-AR"/>
        </w:rPr>
        <w:t>Ley Aplicable y Jurisdicción</w:t>
      </w:r>
      <w:r w:rsidRPr="002B34A1">
        <w:rPr>
          <w:rFonts w:ascii="Times New Roman" w:hAnsi="Times New Roman"/>
          <w:b/>
          <w:bCs/>
          <w:sz w:val="20"/>
          <w:lang w:val="es-AR"/>
        </w:rPr>
        <w:t>:</w:t>
      </w:r>
      <w:r>
        <w:rPr>
          <w:rFonts w:ascii="Times New Roman" w:hAnsi="Times New Roman"/>
          <w:sz w:val="20"/>
          <w:lang w:val="es-AR"/>
        </w:rPr>
        <w:t xml:space="preserve"> </w:t>
      </w:r>
      <w:r w:rsidRPr="006C347F">
        <w:rPr>
          <w:rFonts w:ascii="Times New Roman" w:hAnsi="Times New Roman"/>
          <w:sz w:val="20"/>
          <w:lang w:val="es-AR"/>
        </w:rPr>
        <w:t>Las Obligaciones Negociables se emitirán conforme con la Ley de Obligaciones Negociables y demás normas vigentes en la República Argentina que resultaren de aplicación en la Fecha de Emisión y Liquidación.</w:t>
      </w:r>
    </w:p>
    <w:p w14:paraId="4C4B44C6" w14:textId="319881A4" w:rsidR="006C347F" w:rsidRPr="002B34A1" w:rsidRDefault="006C347F" w:rsidP="002B34A1">
      <w:pPr>
        <w:pStyle w:val="DPWWriterInfo"/>
        <w:spacing w:before="0" w:after="120"/>
        <w:ind w:left="-567" w:right="-658"/>
        <w:jc w:val="both"/>
        <w:rPr>
          <w:rFonts w:ascii="Times New Roman" w:hAnsi="Times New Roman"/>
          <w:sz w:val="20"/>
          <w:lang w:val="es-AR"/>
        </w:rPr>
      </w:pPr>
      <w:r w:rsidRPr="006C347F">
        <w:rPr>
          <w:rFonts w:ascii="Times New Roman" w:hAnsi="Times New Roman"/>
          <w:sz w:val="20"/>
          <w:lang w:val="es-AR"/>
        </w:rPr>
        <w:t xml:space="preserve">Cualquier persona que intervenga en cualquier carácter en la colocación y suscripción de las Obligaciones Negociables y cualquier tercero con relación a lo previsto en </w:t>
      </w:r>
      <w:r>
        <w:rPr>
          <w:rFonts w:ascii="Times New Roman" w:hAnsi="Times New Roman"/>
          <w:sz w:val="20"/>
          <w:lang w:val="es-AR"/>
        </w:rPr>
        <w:t>el</w:t>
      </w:r>
      <w:r w:rsidRPr="006C347F">
        <w:rPr>
          <w:rFonts w:ascii="Times New Roman" w:hAnsi="Times New Roman"/>
          <w:sz w:val="20"/>
          <w:lang w:val="es-AR"/>
        </w:rPr>
        <w:t xml:space="preserve"> Suplemento de Prospecto, su existencia, validez, calificación, interpretación, alcance, cumplimiento o resolución se podrá someter a la jurisdicción del Tribunal de Arbitraje General de la BCBA, en virtud del ejercicio de la facultad delegada por BYMA a la BCBA, en materia de constitución de tribunales arbitrales, conforme lo dispuesto por la Resolución N° 18.629 de la CNV (el “</w:t>
      </w:r>
      <w:r w:rsidRPr="002B34A1">
        <w:rPr>
          <w:rFonts w:ascii="Times New Roman" w:hAnsi="Times New Roman"/>
          <w:sz w:val="20"/>
          <w:u w:val="single"/>
          <w:lang w:val="es-AR"/>
        </w:rPr>
        <w:t>Tribunal Arbitral de la BCBA</w:t>
      </w:r>
      <w:r w:rsidRPr="006C347F">
        <w:rPr>
          <w:rFonts w:ascii="Times New Roman" w:hAnsi="Times New Roman"/>
          <w:sz w:val="20"/>
          <w:lang w:val="es-AR"/>
        </w:rPr>
        <w:t>”). Sin perjuicio de ello, de conformidad con el Artículo 46 de la Ley de Mercado de Capitales, los Tenedores podrán someter sus controversias en relación con las Obligaciones Negociables a la jurisdicción no exclusiva del Tribunal Arbitral de la BCBA o el que se cree en el futuro de conformidad con el artículo 29 de la Ley de Mercado de Capitales o bien a la de los tribunales judiciales en lo comercial de la Ciudad Autónoma de Buenos Aires, a opción exclusiva del Tenedor en cuestión. A su vez, en los casos en que las normas vigentes establezcan la acumulación de acciones entabladas con idéntica finalidad ante un solo tribunal, la acumulación se efectuará ante el tribunal judicial.</w:t>
      </w:r>
    </w:p>
    <w:p w14:paraId="2A00175C" w14:textId="36F4115F" w:rsidR="007A60FD" w:rsidRPr="00507577" w:rsidRDefault="00B36FA3" w:rsidP="002B34A1">
      <w:pPr>
        <w:pStyle w:val="DPWWriterInfo"/>
        <w:numPr>
          <w:ilvl w:val="0"/>
          <w:numId w:val="3"/>
        </w:numPr>
        <w:tabs>
          <w:tab w:val="clear" w:pos="720"/>
          <w:tab w:val="num" w:pos="0"/>
        </w:tabs>
        <w:spacing w:before="0" w:after="120"/>
        <w:ind w:left="-567" w:right="-658" w:firstLine="0"/>
        <w:jc w:val="both"/>
        <w:rPr>
          <w:rFonts w:ascii="Times New Roman" w:hAnsi="Times New Roman"/>
          <w:sz w:val="20"/>
          <w:lang w:val="es-AR"/>
        </w:rPr>
      </w:pPr>
      <w:r w:rsidRPr="00507577">
        <w:rPr>
          <w:rFonts w:ascii="Times New Roman" w:hAnsi="Times New Roman"/>
          <w:b/>
          <w:bCs/>
          <w:sz w:val="20"/>
          <w:u w:val="single"/>
          <w:lang w:val="es-AR"/>
        </w:rPr>
        <w:t xml:space="preserve">Descripción y </w:t>
      </w:r>
      <w:r w:rsidR="007A60FD" w:rsidRPr="00507577">
        <w:rPr>
          <w:rFonts w:ascii="Times New Roman" w:hAnsi="Times New Roman"/>
          <w:b/>
          <w:bCs/>
          <w:sz w:val="20"/>
          <w:u w:val="single"/>
          <w:lang w:val="es-AR"/>
        </w:rPr>
        <w:t>Rango</w:t>
      </w:r>
      <w:r w:rsidR="007A60FD" w:rsidRPr="00507577">
        <w:rPr>
          <w:rFonts w:ascii="Times New Roman" w:hAnsi="Times New Roman"/>
          <w:b/>
          <w:bCs/>
          <w:sz w:val="20"/>
          <w:lang w:val="es-AR"/>
        </w:rPr>
        <w:t>:</w:t>
      </w:r>
      <w:r w:rsidR="007A60FD" w:rsidRPr="00507577">
        <w:rPr>
          <w:rFonts w:ascii="Times New Roman" w:hAnsi="Times New Roman"/>
          <w:sz w:val="20"/>
          <w:lang w:val="es-AR"/>
        </w:rPr>
        <w:t xml:space="preserve"> </w:t>
      </w:r>
      <w:r w:rsidR="000255B5" w:rsidRPr="00507577">
        <w:rPr>
          <w:rFonts w:ascii="Times New Roman" w:hAnsi="Times New Roman"/>
          <w:sz w:val="20"/>
          <w:lang w:val="es-AR"/>
        </w:rPr>
        <w:t xml:space="preserve">Las Obligaciones Negociables serán obligaciones negociables simples, no convertibles en acciones. </w:t>
      </w:r>
      <w:r w:rsidR="007A60FD" w:rsidRPr="00507577">
        <w:rPr>
          <w:rFonts w:ascii="Times New Roman" w:hAnsi="Times New Roman"/>
          <w:sz w:val="20"/>
          <w:lang w:val="es-AR"/>
        </w:rPr>
        <w:t xml:space="preserve">Las Obligaciones Negociables constituirán </w:t>
      </w:r>
      <w:r w:rsidR="000255B5" w:rsidRPr="00507577">
        <w:rPr>
          <w:rFonts w:ascii="Times New Roman" w:hAnsi="Times New Roman"/>
          <w:sz w:val="20"/>
          <w:lang w:val="es-AR"/>
        </w:rPr>
        <w:t xml:space="preserve">un endeudamiento </w:t>
      </w:r>
      <w:r w:rsidR="007A60FD" w:rsidRPr="00507577">
        <w:rPr>
          <w:rFonts w:ascii="Times New Roman" w:hAnsi="Times New Roman"/>
          <w:sz w:val="20"/>
          <w:lang w:val="es-AR"/>
        </w:rPr>
        <w:t>direct</w:t>
      </w:r>
      <w:r w:rsidR="000255B5" w:rsidRPr="00507577">
        <w:rPr>
          <w:rFonts w:ascii="Times New Roman" w:hAnsi="Times New Roman"/>
          <w:sz w:val="20"/>
          <w:lang w:val="es-AR"/>
        </w:rPr>
        <w:t>o, incondicional</w:t>
      </w:r>
      <w:r w:rsidR="007A60FD" w:rsidRPr="00507577">
        <w:rPr>
          <w:rFonts w:ascii="Times New Roman" w:hAnsi="Times New Roman"/>
          <w:sz w:val="20"/>
          <w:lang w:val="es-AR"/>
        </w:rPr>
        <w:t xml:space="preserve">, no </w:t>
      </w:r>
      <w:r w:rsidR="000255B5" w:rsidRPr="00507577">
        <w:rPr>
          <w:rFonts w:ascii="Times New Roman" w:hAnsi="Times New Roman"/>
          <w:sz w:val="20"/>
          <w:lang w:val="es-AR"/>
        </w:rPr>
        <w:t xml:space="preserve">privilegiado </w:t>
      </w:r>
      <w:r w:rsidR="007A60FD" w:rsidRPr="00507577">
        <w:rPr>
          <w:rFonts w:ascii="Times New Roman" w:hAnsi="Times New Roman"/>
          <w:sz w:val="20"/>
          <w:lang w:val="es-AR"/>
        </w:rPr>
        <w:t xml:space="preserve">y </w:t>
      </w:r>
      <w:r w:rsidR="000255B5" w:rsidRPr="00507577">
        <w:rPr>
          <w:rFonts w:ascii="Times New Roman" w:hAnsi="Times New Roman"/>
          <w:sz w:val="20"/>
          <w:lang w:val="es-AR"/>
        </w:rPr>
        <w:t>no subordinado de BBVA y tendrán en todo momento el mismo rango en su derecho de pago que todas las deudas existentes y futuras no privilegiadas y no subordinadas de BBVA (salvo las obligaciones que gozan de preferencia por ley o de puro derecho, inclusive, entre otros, las acreencias por impuestos y de índole laboral)</w:t>
      </w:r>
      <w:r w:rsidR="007A60FD" w:rsidRPr="00507577">
        <w:rPr>
          <w:rFonts w:ascii="Times New Roman" w:hAnsi="Times New Roman"/>
          <w:sz w:val="20"/>
          <w:lang w:val="es-AR"/>
        </w:rPr>
        <w:t xml:space="preserve">. </w:t>
      </w:r>
    </w:p>
    <w:p w14:paraId="0C15E553" w14:textId="7D2BA351" w:rsidR="00B707C4" w:rsidRPr="00507577" w:rsidRDefault="007A60FD" w:rsidP="003317D9">
      <w:pPr>
        <w:pStyle w:val="DPWWriterInfo"/>
        <w:numPr>
          <w:ilvl w:val="0"/>
          <w:numId w:val="3"/>
        </w:numPr>
        <w:tabs>
          <w:tab w:val="clear" w:pos="720"/>
          <w:tab w:val="num" w:pos="0"/>
        </w:tabs>
        <w:spacing w:before="120" w:after="0"/>
        <w:ind w:left="-567" w:right="-660" w:firstLine="0"/>
        <w:jc w:val="both"/>
        <w:rPr>
          <w:rFonts w:ascii="Times New Roman" w:hAnsi="Times New Roman"/>
          <w:sz w:val="20"/>
          <w:lang w:val="es-AR"/>
        </w:rPr>
      </w:pPr>
      <w:r w:rsidRPr="00507577">
        <w:rPr>
          <w:rFonts w:ascii="Times New Roman" w:hAnsi="Times New Roman"/>
          <w:b/>
          <w:bCs/>
          <w:sz w:val="20"/>
          <w:u w:val="single"/>
          <w:lang w:val="es-AR"/>
        </w:rPr>
        <w:t>Forma</w:t>
      </w:r>
      <w:r w:rsidRPr="00507577">
        <w:rPr>
          <w:rFonts w:ascii="Times New Roman" w:hAnsi="Times New Roman"/>
          <w:b/>
          <w:bCs/>
          <w:sz w:val="20"/>
          <w:lang w:val="es-AR"/>
        </w:rPr>
        <w:t>:</w:t>
      </w:r>
      <w:r w:rsidRPr="00507577">
        <w:rPr>
          <w:rFonts w:ascii="Times New Roman" w:hAnsi="Times New Roman"/>
          <w:sz w:val="20"/>
          <w:lang w:val="es-AR"/>
        </w:rPr>
        <w:t xml:space="preserve"> </w:t>
      </w:r>
      <w:r w:rsidR="00ED27C1">
        <w:rPr>
          <w:rFonts w:ascii="Times New Roman" w:hAnsi="Times New Roman"/>
          <w:sz w:val="20"/>
          <w:lang w:val="es-AR"/>
        </w:rPr>
        <w:t>Las</w:t>
      </w:r>
      <w:r w:rsidR="00200915" w:rsidRPr="00507577">
        <w:rPr>
          <w:rFonts w:ascii="Times New Roman" w:hAnsi="Times New Roman"/>
          <w:sz w:val="20"/>
          <w:lang w:val="es-AR"/>
        </w:rPr>
        <w:t xml:space="preserve"> </w:t>
      </w:r>
      <w:r w:rsidR="00A466F4" w:rsidRPr="00507577">
        <w:rPr>
          <w:rFonts w:ascii="Times New Roman" w:hAnsi="Times New Roman"/>
          <w:sz w:val="20"/>
          <w:lang w:val="es-AR"/>
        </w:rPr>
        <w:t xml:space="preserve">Obligaciones Negociables estarán representadas en </w:t>
      </w:r>
      <w:r w:rsidR="00931AB9" w:rsidRPr="00507577">
        <w:rPr>
          <w:rFonts w:ascii="Times New Roman" w:hAnsi="Times New Roman"/>
          <w:sz w:val="20"/>
          <w:lang w:val="es-AR"/>
        </w:rPr>
        <w:t xml:space="preserve">un </w:t>
      </w:r>
      <w:r w:rsidR="00A466F4" w:rsidRPr="00507577">
        <w:rPr>
          <w:rFonts w:ascii="Times New Roman" w:hAnsi="Times New Roman"/>
          <w:sz w:val="20"/>
          <w:lang w:val="es-AR"/>
        </w:rPr>
        <w:t xml:space="preserve">certificado global permanente, a ser depositado en la CVSA de acuerdo a lo establecido por la Ley N° 24.587 de </w:t>
      </w:r>
      <w:proofErr w:type="spellStart"/>
      <w:r w:rsidR="00A466F4" w:rsidRPr="00507577">
        <w:rPr>
          <w:rFonts w:ascii="Times New Roman" w:hAnsi="Times New Roman"/>
          <w:sz w:val="20"/>
          <w:lang w:val="es-AR"/>
        </w:rPr>
        <w:t>Nominatividad</w:t>
      </w:r>
      <w:proofErr w:type="spellEnd"/>
      <w:r w:rsidR="00A466F4" w:rsidRPr="00507577">
        <w:rPr>
          <w:rFonts w:ascii="Times New Roman" w:hAnsi="Times New Roman"/>
          <w:sz w:val="20"/>
          <w:lang w:val="es-AR"/>
        </w:rPr>
        <w:t xml:space="preserve"> de los Títulos Valores Privados. Los tenedores renuncian al derecho a exigir la entrega de láminas individuales. Las transferencias se realizarán dentro del sistema de depósito colectivo, conforme a la Ley </w:t>
      </w:r>
      <w:proofErr w:type="spellStart"/>
      <w:r w:rsidR="00A466F4" w:rsidRPr="00507577">
        <w:rPr>
          <w:rFonts w:ascii="Times New Roman" w:hAnsi="Times New Roman"/>
          <w:sz w:val="20"/>
          <w:lang w:val="es-AR"/>
        </w:rPr>
        <w:t>Nº</w:t>
      </w:r>
      <w:proofErr w:type="spellEnd"/>
      <w:r w:rsidR="00A466F4" w:rsidRPr="00507577">
        <w:rPr>
          <w:rFonts w:ascii="Times New Roman" w:hAnsi="Times New Roman"/>
          <w:sz w:val="20"/>
          <w:lang w:val="es-AR"/>
        </w:rPr>
        <w:t xml:space="preserve"> 20.643 y sus posteriores modificaciones, encontrándose habilitada la CVSA para cobrar los aranceles de los depositantes, que éstos podrán trasladar a los tenedores</w:t>
      </w:r>
      <w:r w:rsidR="00913234" w:rsidRPr="00507577">
        <w:rPr>
          <w:rFonts w:ascii="Times New Roman" w:hAnsi="Times New Roman"/>
          <w:sz w:val="20"/>
          <w:lang w:val="es-AR"/>
        </w:rPr>
        <w:t>.</w:t>
      </w:r>
    </w:p>
    <w:p w14:paraId="7A471314" w14:textId="7D478391" w:rsidR="00291584" w:rsidRPr="00D70E18" w:rsidRDefault="003B7B92" w:rsidP="003B7B92">
      <w:pPr>
        <w:pStyle w:val="DPWWriterInfo"/>
        <w:numPr>
          <w:ilvl w:val="0"/>
          <w:numId w:val="3"/>
        </w:numPr>
        <w:tabs>
          <w:tab w:val="clear" w:pos="720"/>
        </w:tabs>
        <w:spacing w:before="120" w:after="120"/>
        <w:ind w:left="-567" w:right="-658" w:firstLine="0"/>
        <w:jc w:val="both"/>
        <w:rPr>
          <w:rFonts w:ascii="Times New Roman" w:hAnsi="Times New Roman"/>
          <w:sz w:val="20"/>
          <w:lang w:val="es-AR"/>
        </w:rPr>
      </w:pPr>
      <w:r w:rsidRPr="00507577">
        <w:rPr>
          <w:rFonts w:ascii="Times New Roman" w:hAnsi="Times New Roman"/>
          <w:b/>
          <w:sz w:val="20"/>
          <w:u w:val="single"/>
          <w:lang w:val="es-AR"/>
        </w:rPr>
        <w:t>Liquidación</w:t>
      </w:r>
      <w:r w:rsidRPr="00507577">
        <w:rPr>
          <w:rFonts w:ascii="Times New Roman" w:hAnsi="Times New Roman"/>
          <w:sz w:val="20"/>
          <w:lang w:val="es-AR"/>
        </w:rPr>
        <w:t>: La liquidación de las Ofertas será efectuada a través de CLEAR, comprometiéndose los inversores adjudicados a tomar los recaudos necesarios a tal efecto en relación al pago del precio de suscripción. En tal sentido, las sumas correspondientes a la integración de las Obligaciones Negociables adjudicadas, deberán estar disponibles a más tardar a las 16</w:t>
      </w:r>
      <w:r w:rsidR="002861FF">
        <w:rPr>
          <w:rFonts w:ascii="Times New Roman" w:hAnsi="Times New Roman"/>
          <w:sz w:val="20"/>
          <w:lang w:val="es-AR"/>
        </w:rPr>
        <w:t>:00 horas</w:t>
      </w:r>
      <w:r w:rsidRPr="00507577">
        <w:rPr>
          <w:rFonts w:ascii="Times New Roman" w:hAnsi="Times New Roman"/>
          <w:sz w:val="20"/>
          <w:lang w:val="es-AR"/>
        </w:rPr>
        <w:t xml:space="preserve"> de la Fecha de Emisión y Liquidación, en las cuentas custodio de los participantes en el sistema de compensación </w:t>
      </w:r>
      <w:r w:rsidR="002861FF">
        <w:rPr>
          <w:rFonts w:ascii="Times New Roman" w:hAnsi="Times New Roman"/>
          <w:sz w:val="20"/>
          <w:lang w:val="es-AR"/>
        </w:rPr>
        <w:t xml:space="preserve">y liquidación </w:t>
      </w:r>
      <w:r w:rsidRPr="00507577">
        <w:rPr>
          <w:rFonts w:ascii="Times New Roman" w:hAnsi="Times New Roman"/>
          <w:sz w:val="20"/>
          <w:lang w:val="es-AR"/>
        </w:rPr>
        <w:t xml:space="preserve">CLEAR que los mismos informen en las correspondientes órdenes de compra o indicadas por los correspondientes agentes </w:t>
      </w:r>
      <w:r>
        <w:rPr>
          <w:rFonts w:ascii="Times New Roman" w:hAnsi="Times New Roman"/>
          <w:sz w:val="20"/>
          <w:lang w:val="es-AR"/>
        </w:rPr>
        <w:t>de A3</w:t>
      </w:r>
      <w:r w:rsidRPr="00507577">
        <w:rPr>
          <w:rFonts w:ascii="Times New Roman" w:hAnsi="Times New Roman"/>
          <w:sz w:val="20"/>
          <w:lang w:val="es-AR"/>
        </w:rPr>
        <w:t xml:space="preserve"> y/o adherentes del mismo (distintos del Emisor) en caso que las Ofertas se hayan cursado por su intermedio. En la Fecha de Emisión y Liquidación, una vez efectuada la integración de las Obligaciones Negociables a través de CLEAR, las mismas serán acreditadas en las cuentas de los custodios participantes en el sistema </w:t>
      </w:r>
      <w:r w:rsidRPr="00507577">
        <w:rPr>
          <w:rFonts w:ascii="Times New Roman" w:hAnsi="Times New Roman"/>
          <w:sz w:val="20"/>
          <w:lang w:val="es-AR"/>
        </w:rPr>
        <w:lastRenderedPageBreak/>
        <w:t>de compensación</w:t>
      </w:r>
      <w:r w:rsidR="0081285A">
        <w:rPr>
          <w:rFonts w:ascii="Times New Roman" w:hAnsi="Times New Roman"/>
          <w:sz w:val="20"/>
          <w:lang w:val="es-AR"/>
        </w:rPr>
        <w:t xml:space="preserve"> y liquidación</w:t>
      </w:r>
      <w:r w:rsidRPr="00507577">
        <w:rPr>
          <w:rFonts w:ascii="Times New Roman" w:hAnsi="Times New Roman"/>
          <w:sz w:val="20"/>
          <w:lang w:val="es-AR"/>
        </w:rPr>
        <w:t xml:space="preserve"> CLEAR indicadas por los oferentes adjudicados en las órdenes de compra remitidas </w:t>
      </w:r>
      <w:r w:rsidR="003F6218">
        <w:rPr>
          <w:rFonts w:ascii="Times New Roman" w:hAnsi="Times New Roman"/>
          <w:sz w:val="20"/>
          <w:lang w:val="es-AR"/>
        </w:rPr>
        <w:t>a los Colocadores</w:t>
      </w:r>
      <w:r w:rsidRPr="00507577">
        <w:rPr>
          <w:rFonts w:ascii="Times New Roman" w:hAnsi="Times New Roman"/>
          <w:sz w:val="20"/>
          <w:lang w:val="es-AR"/>
        </w:rPr>
        <w:t xml:space="preserve"> o bien indicadas por el correspondiente agente </w:t>
      </w:r>
      <w:r>
        <w:rPr>
          <w:rFonts w:ascii="Times New Roman" w:hAnsi="Times New Roman"/>
          <w:sz w:val="20"/>
          <w:lang w:val="es-AR"/>
        </w:rPr>
        <w:t>de A3</w:t>
      </w:r>
      <w:r w:rsidRPr="00507577">
        <w:rPr>
          <w:rFonts w:ascii="Times New Roman" w:hAnsi="Times New Roman"/>
          <w:sz w:val="20"/>
          <w:lang w:val="es-AR"/>
        </w:rPr>
        <w:t xml:space="preserve"> y/o adherentes del mismo en el caso que las órdenes de compra se hayan cursado por su intermedio. Asimismo, los inversores adjudicados que integren a través del Agente de Liquidación deberán en la Fecha de Emisión y Liquidación integrar en efectivo, antes de las 14</w:t>
      </w:r>
      <w:r w:rsidR="0081285A">
        <w:rPr>
          <w:rFonts w:ascii="Times New Roman" w:hAnsi="Times New Roman"/>
          <w:sz w:val="20"/>
          <w:lang w:val="es-AR"/>
        </w:rPr>
        <w:t>:00 horas</w:t>
      </w:r>
      <w:r w:rsidRPr="00507577">
        <w:rPr>
          <w:rFonts w:ascii="Times New Roman" w:hAnsi="Times New Roman"/>
          <w:sz w:val="20"/>
          <w:lang w:val="es-AR"/>
        </w:rPr>
        <w:t xml:space="preserve"> de dicha fecha, los </w:t>
      </w:r>
      <w:r w:rsidR="0081285A">
        <w:rPr>
          <w:rFonts w:ascii="Times New Roman" w:hAnsi="Times New Roman"/>
          <w:sz w:val="20"/>
          <w:lang w:val="es-AR"/>
        </w:rPr>
        <w:t>Dólares Estadounidenses</w:t>
      </w:r>
      <w:r w:rsidR="0081285A" w:rsidRPr="00507577">
        <w:rPr>
          <w:rFonts w:ascii="Times New Roman" w:hAnsi="Times New Roman"/>
          <w:sz w:val="20"/>
          <w:lang w:val="es-AR"/>
        </w:rPr>
        <w:t xml:space="preserve"> </w:t>
      </w:r>
      <w:r w:rsidRPr="00507577">
        <w:rPr>
          <w:rFonts w:ascii="Times New Roman" w:hAnsi="Times New Roman"/>
          <w:sz w:val="20"/>
          <w:lang w:val="es-AR"/>
        </w:rPr>
        <w:t xml:space="preserve">suficientes para cubrir el pago del precio de suscripción de Obligaciones Negociables que le fueran adjudicados, mediante (a) transferencia electrónica a una cuenta abierta a nombre del respectivo Agente de Liquidación, la cual será informada en la orden de compra, o (b) autorización al Agente de Liquidación para que debite de una o más cuentas de titularidad del inversor las sumas correspondientes; todo ello de acuerdo a las instrucciones consignadas en la orden de compra respectiva. Para más información, véase la sección </w:t>
      </w:r>
      <w:r w:rsidRPr="00507577">
        <w:rPr>
          <w:rFonts w:ascii="Times New Roman" w:hAnsi="Times New Roman"/>
          <w:i/>
          <w:iCs/>
          <w:sz w:val="20"/>
          <w:lang w:val="es-AR"/>
        </w:rPr>
        <w:t xml:space="preserve">“Plan de Distribución - </w:t>
      </w:r>
      <w:r w:rsidRPr="00507577">
        <w:rPr>
          <w:rFonts w:ascii="Times New Roman" w:hAnsi="Times New Roman"/>
          <w:bCs/>
          <w:i/>
          <w:iCs/>
          <w:sz w:val="20"/>
          <w:lang w:val="es-AR"/>
        </w:rPr>
        <w:t>Liquidación</w:t>
      </w:r>
      <w:r w:rsidRPr="00507577">
        <w:rPr>
          <w:rFonts w:ascii="Times New Roman" w:hAnsi="Times New Roman"/>
          <w:i/>
          <w:iCs/>
          <w:sz w:val="20"/>
          <w:lang w:val="es-AR"/>
        </w:rPr>
        <w:t xml:space="preserve">” </w:t>
      </w:r>
      <w:r w:rsidRPr="00507577">
        <w:rPr>
          <w:rFonts w:ascii="Times New Roman" w:hAnsi="Times New Roman"/>
          <w:sz w:val="20"/>
          <w:lang w:val="es-AR"/>
        </w:rPr>
        <w:t>del Suplemento de Prospecto</w:t>
      </w:r>
      <w:bookmarkEnd w:id="6"/>
      <w:r w:rsidR="00291584" w:rsidRPr="00D70E18">
        <w:rPr>
          <w:rFonts w:ascii="Times New Roman" w:hAnsi="Times New Roman"/>
          <w:sz w:val="20"/>
          <w:lang w:val="es-AR"/>
        </w:rPr>
        <w:t>.</w:t>
      </w:r>
    </w:p>
    <w:p w14:paraId="3F0B65A3" w14:textId="4F89F349" w:rsidR="00857D56" w:rsidRPr="00507577" w:rsidRDefault="00857D56" w:rsidP="003317D9">
      <w:pPr>
        <w:pStyle w:val="DPWWriterInfo"/>
        <w:numPr>
          <w:ilvl w:val="0"/>
          <w:numId w:val="3"/>
        </w:numPr>
        <w:tabs>
          <w:tab w:val="clear" w:pos="720"/>
          <w:tab w:val="num" w:pos="0"/>
        </w:tabs>
        <w:spacing w:before="120" w:after="0"/>
        <w:ind w:left="-567" w:right="-660" w:firstLine="0"/>
        <w:jc w:val="both"/>
        <w:rPr>
          <w:rFonts w:ascii="Times New Roman" w:hAnsi="Times New Roman"/>
          <w:sz w:val="20"/>
          <w:u w:val="single"/>
          <w:lang w:val="es-AR"/>
        </w:rPr>
      </w:pPr>
      <w:r w:rsidRPr="00507577">
        <w:rPr>
          <w:rFonts w:ascii="Times New Roman" w:hAnsi="Times New Roman"/>
          <w:b/>
          <w:bCs/>
          <w:sz w:val="20"/>
          <w:u w:val="single"/>
          <w:lang w:val="es-AR"/>
        </w:rPr>
        <w:t>Agente de Liquidación</w:t>
      </w:r>
      <w:r w:rsidRPr="00507577">
        <w:rPr>
          <w:rFonts w:ascii="Times New Roman" w:hAnsi="Times New Roman"/>
          <w:b/>
          <w:bCs/>
          <w:sz w:val="20"/>
          <w:lang w:val="es-AR"/>
        </w:rPr>
        <w:t>:</w:t>
      </w:r>
      <w:r w:rsidRPr="00507577">
        <w:rPr>
          <w:rFonts w:ascii="Times New Roman" w:hAnsi="Times New Roman"/>
          <w:sz w:val="20"/>
          <w:lang w:val="es-AR"/>
        </w:rPr>
        <w:t xml:space="preserve"> BBVA.</w:t>
      </w:r>
    </w:p>
    <w:p w14:paraId="3346F8CE" w14:textId="66A734D3" w:rsidR="00BB0277" w:rsidRPr="00507577" w:rsidRDefault="00BB0277" w:rsidP="003317D9">
      <w:pPr>
        <w:pStyle w:val="DPWWriterInfo"/>
        <w:numPr>
          <w:ilvl w:val="0"/>
          <w:numId w:val="3"/>
        </w:numPr>
        <w:tabs>
          <w:tab w:val="clear" w:pos="720"/>
          <w:tab w:val="num" w:pos="0"/>
        </w:tabs>
        <w:spacing w:before="120" w:after="0"/>
        <w:ind w:left="-567" w:right="-660" w:firstLine="0"/>
        <w:jc w:val="both"/>
        <w:rPr>
          <w:rFonts w:ascii="Times New Roman" w:hAnsi="Times New Roman"/>
          <w:sz w:val="20"/>
          <w:u w:val="single"/>
          <w:lang w:val="es-AR"/>
        </w:rPr>
      </w:pPr>
      <w:r w:rsidRPr="00507577">
        <w:rPr>
          <w:rFonts w:ascii="Times New Roman" w:hAnsi="Times New Roman"/>
          <w:b/>
          <w:sz w:val="20"/>
          <w:u w:val="single"/>
          <w:lang w:val="es-AR"/>
        </w:rPr>
        <w:t>Compensación y Liquidación</w:t>
      </w:r>
      <w:r w:rsidRPr="00507577">
        <w:rPr>
          <w:rFonts w:ascii="Times New Roman" w:hAnsi="Times New Roman"/>
          <w:sz w:val="20"/>
          <w:lang w:val="es-AR"/>
        </w:rPr>
        <w:t xml:space="preserve">: </w:t>
      </w:r>
      <w:r w:rsidR="002316AD">
        <w:rPr>
          <w:rFonts w:ascii="Times New Roman" w:hAnsi="Times New Roman"/>
          <w:sz w:val="20"/>
          <w:lang w:val="es-AR"/>
        </w:rPr>
        <w:t>CLEAR</w:t>
      </w:r>
      <w:r w:rsidR="00E2148E">
        <w:rPr>
          <w:rFonts w:ascii="Times New Roman" w:hAnsi="Times New Roman"/>
          <w:sz w:val="20"/>
          <w:lang w:val="es-AR"/>
        </w:rPr>
        <w:t>.</w:t>
      </w:r>
      <w:r w:rsidR="00C7585A">
        <w:rPr>
          <w:rFonts w:ascii="Times New Roman" w:hAnsi="Times New Roman"/>
          <w:sz w:val="20"/>
          <w:lang w:val="es-AR"/>
        </w:rPr>
        <w:t xml:space="preserve"> </w:t>
      </w:r>
    </w:p>
    <w:p w14:paraId="244BF888" w14:textId="6E1B1DDF" w:rsidR="00E2148E" w:rsidRPr="00507577" w:rsidRDefault="00CF3ECD" w:rsidP="00B94C30">
      <w:pPr>
        <w:pStyle w:val="DPWWriterInfo"/>
        <w:numPr>
          <w:ilvl w:val="0"/>
          <w:numId w:val="3"/>
        </w:numPr>
        <w:tabs>
          <w:tab w:val="clear" w:pos="720"/>
          <w:tab w:val="num" w:pos="0"/>
        </w:tabs>
        <w:spacing w:before="120" w:after="0"/>
        <w:ind w:left="-567" w:right="-660" w:firstLine="0"/>
        <w:jc w:val="both"/>
        <w:rPr>
          <w:rFonts w:ascii="Times New Roman" w:hAnsi="Times New Roman"/>
          <w:sz w:val="20"/>
          <w:u w:val="single"/>
          <w:lang w:val="es-AR"/>
        </w:rPr>
      </w:pPr>
      <w:r w:rsidRPr="00507577">
        <w:rPr>
          <w:rFonts w:ascii="Times New Roman" w:hAnsi="Times New Roman"/>
          <w:b/>
          <w:bCs/>
          <w:sz w:val="20"/>
          <w:u w:val="single"/>
          <w:lang w:val="es-AR"/>
        </w:rPr>
        <w:t>Listado</w:t>
      </w:r>
      <w:r w:rsidR="007A60FD" w:rsidRPr="00507577">
        <w:rPr>
          <w:rFonts w:ascii="Times New Roman" w:hAnsi="Times New Roman"/>
          <w:b/>
          <w:bCs/>
          <w:sz w:val="20"/>
          <w:lang w:val="es-AR"/>
        </w:rPr>
        <w:t>:</w:t>
      </w:r>
      <w:r w:rsidR="007A60FD" w:rsidRPr="00507577">
        <w:rPr>
          <w:rFonts w:ascii="Times New Roman" w:hAnsi="Times New Roman"/>
          <w:sz w:val="20"/>
          <w:lang w:val="es-AR"/>
        </w:rPr>
        <w:t xml:space="preserve"> </w:t>
      </w:r>
      <w:r w:rsidR="000255B5" w:rsidRPr="00507577">
        <w:rPr>
          <w:rFonts w:ascii="Times New Roman" w:hAnsi="Times New Roman"/>
          <w:sz w:val="20"/>
          <w:lang w:val="es-AR"/>
        </w:rPr>
        <w:t>S</w:t>
      </w:r>
      <w:r w:rsidR="007A60FD" w:rsidRPr="00507577">
        <w:rPr>
          <w:rFonts w:ascii="Times New Roman" w:hAnsi="Times New Roman"/>
          <w:sz w:val="20"/>
          <w:lang w:val="es-AR"/>
        </w:rPr>
        <w:t xml:space="preserve">e ha </w:t>
      </w:r>
      <w:r w:rsidR="00C05F36" w:rsidRPr="00507577">
        <w:rPr>
          <w:rFonts w:ascii="Times New Roman" w:hAnsi="Times New Roman"/>
          <w:sz w:val="20"/>
          <w:lang w:val="es-AR"/>
        </w:rPr>
        <w:t>solicitado</w:t>
      </w:r>
      <w:r w:rsidR="00874204" w:rsidRPr="00507577">
        <w:rPr>
          <w:rFonts w:ascii="Times New Roman" w:hAnsi="Times New Roman"/>
          <w:sz w:val="20"/>
          <w:lang w:val="es-AR"/>
        </w:rPr>
        <w:t xml:space="preserve"> </w:t>
      </w:r>
      <w:r w:rsidRPr="00507577">
        <w:rPr>
          <w:rFonts w:ascii="Times New Roman" w:hAnsi="Times New Roman"/>
          <w:sz w:val="20"/>
          <w:lang w:val="es-AR"/>
        </w:rPr>
        <w:t>e</w:t>
      </w:r>
      <w:r w:rsidR="000255B5" w:rsidRPr="00507577">
        <w:rPr>
          <w:rFonts w:ascii="Times New Roman" w:hAnsi="Times New Roman"/>
          <w:sz w:val="20"/>
          <w:lang w:val="es-AR"/>
        </w:rPr>
        <w:t xml:space="preserve">l </w:t>
      </w:r>
      <w:r w:rsidRPr="00507577">
        <w:rPr>
          <w:rFonts w:ascii="Times New Roman" w:hAnsi="Times New Roman"/>
          <w:sz w:val="20"/>
          <w:lang w:val="es-AR"/>
        </w:rPr>
        <w:t xml:space="preserve">listado </w:t>
      </w:r>
      <w:r w:rsidR="007A60FD" w:rsidRPr="00507577">
        <w:rPr>
          <w:rFonts w:ascii="Times New Roman" w:hAnsi="Times New Roman"/>
          <w:sz w:val="20"/>
          <w:lang w:val="es-AR"/>
        </w:rPr>
        <w:t xml:space="preserve">de las Obligaciones Negociables en </w:t>
      </w:r>
      <w:r w:rsidR="008D21E6" w:rsidRPr="00507577">
        <w:rPr>
          <w:rFonts w:ascii="Times New Roman" w:hAnsi="Times New Roman"/>
          <w:sz w:val="20"/>
          <w:lang w:val="es-AR"/>
        </w:rPr>
        <w:t>BYMA</w:t>
      </w:r>
      <w:r w:rsidR="00B707C4" w:rsidRPr="00507577">
        <w:rPr>
          <w:rFonts w:ascii="Times New Roman" w:hAnsi="Times New Roman"/>
          <w:sz w:val="20"/>
          <w:lang w:val="es-AR"/>
        </w:rPr>
        <w:t xml:space="preserve"> a través de </w:t>
      </w:r>
      <w:r w:rsidR="007A60FD" w:rsidRPr="00507577">
        <w:rPr>
          <w:rFonts w:ascii="Times New Roman" w:hAnsi="Times New Roman"/>
          <w:sz w:val="20"/>
          <w:lang w:val="es-AR"/>
        </w:rPr>
        <w:t xml:space="preserve">la </w:t>
      </w:r>
      <w:r w:rsidRPr="00507577">
        <w:rPr>
          <w:rFonts w:ascii="Times New Roman" w:hAnsi="Times New Roman"/>
          <w:sz w:val="20"/>
          <w:lang w:val="es-AR"/>
        </w:rPr>
        <w:t>BCBA</w:t>
      </w:r>
      <w:r w:rsidR="007A60FD" w:rsidRPr="00507577">
        <w:rPr>
          <w:rFonts w:ascii="Times New Roman" w:hAnsi="Times New Roman"/>
          <w:sz w:val="20"/>
          <w:lang w:val="es-AR"/>
        </w:rPr>
        <w:t xml:space="preserve"> y </w:t>
      </w:r>
      <w:r w:rsidR="00945C77" w:rsidRPr="00507577">
        <w:rPr>
          <w:rFonts w:ascii="Times New Roman" w:hAnsi="Times New Roman"/>
          <w:sz w:val="20"/>
          <w:lang w:val="es-AR"/>
        </w:rPr>
        <w:t>la</w:t>
      </w:r>
      <w:r w:rsidR="00C05F36" w:rsidRPr="00507577">
        <w:rPr>
          <w:rFonts w:ascii="Times New Roman" w:hAnsi="Times New Roman"/>
          <w:sz w:val="20"/>
          <w:lang w:val="es-AR"/>
        </w:rPr>
        <w:t xml:space="preserve"> </w:t>
      </w:r>
      <w:r w:rsidR="007A60FD" w:rsidRPr="00507577">
        <w:rPr>
          <w:rFonts w:ascii="Times New Roman" w:hAnsi="Times New Roman"/>
          <w:sz w:val="20"/>
          <w:lang w:val="es-AR"/>
        </w:rPr>
        <w:t xml:space="preserve">negociación de las mismas en </w:t>
      </w:r>
      <w:r w:rsidR="002316AD">
        <w:rPr>
          <w:rFonts w:ascii="Times New Roman" w:hAnsi="Times New Roman"/>
          <w:sz w:val="20"/>
          <w:lang w:val="es-AR"/>
        </w:rPr>
        <w:t>A3</w:t>
      </w:r>
      <w:r w:rsidR="007A60FD" w:rsidRPr="00507577">
        <w:rPr>
          <w:rFonts w:ascii="Times New Roman" w:hAnsi="Times New Roman"/>
          <w:sz w:val="20"/>
          <w:lang w:val="es-AR"/>
        </w:rPr>
        <w:t>.</w:t>
      </w:r>
    </w:p>
    <w:p w14:paraId="2CAB26B9" w14:textId="7BA73467" w:rsidR="002465C5" w:rsidRPr="008D2546" w:rsidRDefault="008D2546" w:rsidP="00080266">
      <w:pPr>
        <w:pStyle w:val="ListParagraph"/>
        <w:numPr>
          <w:ilvl w:val="0"/>
          <w:numId w:val="16"/>
        </w:numPr>
        <w:tabs>
          <w:tab w:val="clear" w:pos="720"/>
          <w:tab w:val="num" w:pos="360"/>
        </w:tabs>
        <w:spacing w:before="120"/>
        <w:ind w:left="-142" w:right="-660" w:firstLine="142"/>
        <w:jc w:val="both"/>
        <w:rPr>
          <w:bCs/>
          <w:spacing w:val="-3"/>
          <w:sz w:val="20"/>
          <w:szCs w:val="20"/>
          <w:lang w:val="es-AR"/>
        </w:rPr>
      </w:pPr>
      <w:r w:rsidRPr="008D2546">
        <w:rPr>
          <w:b/>
          <w:bCs/>
          <w:sz w:val="20"/>
          <w:szCs w:val="20"/>
          <w:u w:val="single"/>
          <w:lang w:val="es-AR"/>
        </w:rPr>
        <w:t xml:space="preserve">Términos y condiciones particulares de las Obligaciones Negociables Clase </w:t>
      </w:r>
      <w:r>
        <w:rPr>
          <w:b/>
          <w:bCs/>
          <w:sz w:val="20"/>
          <w:szCs w:val="20"/>
          <w:u w:val="single"/>
          <w:lang w:val="es-AR"/>
        </w:rPr>
        <w:t>44</w:t>
      </w:r>
      <w:r w:rsidRPr="008D2546">
        <w:rPr>
          <w:b/>
          <w:spacing w:val="-3"/>
          <w:sz w:val="20"/>
          <w:lang w:val="es-AR"/>
        </w:rPr>
        <w:t>:</w:t>
      </w:r>
      <w:r w:rsidRPr="008D2546">
        <w:rPr>
          <w:bCs/>
          <w:spacing w:val="-3"/>
          <w:sz w:val="20"/>
          <w:lang w:val="es-AR"/>
        </w:rPr>
        <w:t xml:space="preserve"> </w:t>
      </w:r>
      <w:bookmarkStart w:id="7" w:name="_Hlk204621604"/>
    </w:p>
    <w:p w14:paraId="52C131C7" w14:textId="77777777" w:rsidR="00536094" w:rsidRPr="006D51E5" w:rsidRDefault="00536094" w:rsidP="00536094">
      <w:pPr>
        <w:pStyle w:val="DPWWriterInfo"/>
        <w:numPr>
          <w:ilvl w:val="0"/>
          <w:numId w:val="15"/>
        </w:numPr>
        <w:tabs>
          <w:tab w:val="clear" w:pos="720"/>
          <w:tab w:val="num" w:pos="0"/>
        </w:tabs>
        <w:spacing w:before="120" w:after="0"/>
        <w:ind w:left="-567" w:right="-660" w:firstLine="0"/>
        <w:jc w:val="both"/>
        <w:rPr>
          <w:rFonts w:ascii="Times New Roman" w:hAnsi="Times New Roman"/>
          <w:sz w:val="20"/>
          <w:lang w:val="es-AR"/>
        </w:rPr>
      </w:pPr>
      <w:r w:rsidRPr="006D51E5">
        <w:rPr>
          <w:rFonts w:ascii="Times New Roman" w:hAnsi="Times New Roman"/>
          <w:b/>
          <w:bCs/>
          <w:sz w:val="20"/>
          <w:u w:val="single"/>
          <w:lang w:val="es-AR"/>
        </w:rPr>
        <w:t>Denominación</w:t>
      </w:r>
      <w:r w:rsidRPr="006D51E5">
        <w:rPr>
          <w:rFonts w:ascii="Times New Roman" w:hAnsi="Times New Roman"/>
          <w:b/>
          <w:bCs/>
          <w:sz w:val="20"/>
          <w:lang w:val="es-AR"/>
        </w:rPr>
        <w:t>:</w:t>
      </w:r>
      <w:r w:rsidRPr="006D51E5">
        <w:rPr>
          <w:rFonts w:ascii="Times New Roman" w:hAnsi="Times New Roman"/>
          <w:sz w:val="20"/>
          <w:lang w:val="es-AR"/>
        </w:rPr>
        <w:t xml:space="preserve"> Las Obligaciones Negociables </w:t>
      </w:r>
      <w:r>
        <w:rPr>
          <w:rFonts w:ascii="Times New Roman" w:hAnsi="Times New Roman"/>
          <w:sz w:val="20"/>
          <w:lang w:val="es-AR"/>
        </w:rPr>
        <w:t>Clase 44</w:t>
      </w:r>
      <w:r w:rsidRPr="006D51E5">
        <w:rPr>
          <w:rFonts w:ascii="Times New Roman" w:hAnsi="Times New Roman"/>
          <w:sz w:val="20"/>
          <w:lang w:val="es-AR"/>
        </w:rPr>
        <w:t xml:space="preserve"> estarán denominadas en Dólares Estadounidenses.</w:t>
      </w:r>
    </w:p>
    <w:p w14:paraId="57E24581" w14:textId="14FC7CE7" w:rsidR="002465C5" w:rsidRDefault="002465C5" w:rsidP="00080266">
      <w:pPr>
        <w:pStyle w:val="DPWWriterInfo"/>
        <w:numPr>
          <w:ilvl w:val="0"/>
          <w:numId w:val="15"/>
        </w:numPr>
        <w:tabs>
          <w:tab w:val="clear" w:pos="720"/>
          <w:tab w:val="num" w:pos="0"/>
        </w:tabs>
        <w:spacing w:before="120" w:after="0"/>
        <w:ind w:left="-567" w:right="-660" w:firstLine="0"/>
        <w:jc w:val="both"/>
        <w:rPr>
          <w:rFonts w:ascii="Times New Roman" w:hAnsi="Times New Roman"/>
          <w:sz w:val="20"/>
          <w:lang w:val="es-AR"/>
        </w:rPr>
      </w:pPr>
      <w:r w:rsidRPr="00507577">
        <w:rPr>
          <w:rFonts w:ascii="Times New Roman" w:hAnsi="Times New Roman"/>
          <w:b/>
          <w:bCs/>
          <w:sz w:val="20"/>
          <w:u w:val="single"/>
          <w:lang w:val="es-AR"/>
        </w:rPr>
        <w:t>Monto Ofertado</w:t>
      </w:r>
      <w:r w:rsidRPr="00507577">
        <w:rPr>
          <w:rFonts w:ascii="Times New Roman" w:hAnsi="Times New Roman"/>
          <w:b/>
          <w:bCs/>
          <w:sz w:val="20"/>
          <w:lang w:val="es-AR"/>
        </w:rPr>
        <w:t>:</w:t>
      </w:r>
      <w:r w:rsidRPr="00507577">
        <w:rPr>
          <w:rFonts w:ascii="Times New Roman" w:hAnsi="Times New Roman"/>
          <w:sz w:val="20"/>
          <w:lang w:val="es-AR"/>
        </w:rPr>
        <w:t xml:space="preserve"> </w:t>
      </w:r>
      <w:r w:rsidR="00536094" w:rsidRPr="00536094">
        <w:rPr>
          <w:rFonts w:ascii="Times New Roman" w:hAnsi="Times New Roman"/>
          <w:sz w:val="20"/>
          <w:lang w:val="es-AR"/>
        </w:rPr>
        <w:t xml:space="preserve">Las Obligaciones Negociables </w:t>
      </w:r>
      <w:r w:rsidR="00536094">
        <w:rPr>
          <w:rFonts w:ascii="Times New Roman" w:hAnsi="Times New Roman"/>
          <w:sz w:val="20"/>
          <w:lang w:val="es-AR"/>
        </w:rPr>
        <w:t xml:space="preserve">Clase 44 </w:t>
      </w:r>
      <w:r w:rsidR="00536094" w:rsidRPr="00536094">
        <w:rPr>
          <w:rFonts w:ascii="Times New Roman" w:hAnsi="Times New Roman"/>
          <w:sz w:val="20"/>
          <w:lang w:val="es-AR"/>
        </w:rPr>
        <w:t>serán ofrecidas por un valor nominal de hasta US$40.000.000 ampliable hasta US$150.000.000</w:t>
      </w:r>
      <w:r w:rsidRPr="00507577">
        <w:rPr>
          <w:rFonts w:ascii="Times New Roman" w:hAnsi="Times New Roman"/>
          <w:spacing w:val="-3"/>
          <w:sz w:val="20"/>
          <w:lang w:val="es-AR"/>
        </w:rPr>
        <w:t>.</w:t>
      </w:r>
    </w:p>
    <w:p w14:paraId="1E9159DB" w14:textId="6A3082FF" w:rsidR="002465C5" w:rsidRPr="00A71722" w:rsidRDefault="002465C5" w:rsidP="00080266">
      <w:pPr>
        <w:pStyle w:val="DPWWriterInfo"/>
        <w:numPr>
          <w:ilvl w:val="0"/>
          <w:numId w:val="15"/>
        </w:numPr>
        <w:tabs>
          <w:tab w:val="clear" w:pos="720"/>
          <w:tab w:val="num" w:pos="0"/>
        </w:tabs>
        <w:spacing w:before="120" w:after="0"/>
        <w:ind w:left="-567" w:right="-660" w:firstLine="0"/>
        <w:jc w:val="both"/>
        <w:rPr>
          <w:rFonts w:ascii="Times New Roman" w:hAnsi="Times New Roman"/>
          <w:sz w:val="20"/>
          <w:lang w:val="es-AR"/>
        </w:rPr>
      </w:pPr>
      <w:r w:rsidRPr="00507577">
        <w:rPr>
          <w:rFonts w:ascii="Times New Roman" w:hAnsi="Times New Roman"/>
          <w:b/>
          <w:bCs/>
          <w:sz w:val="20"/>
          <w:u w:val="single"/>
          <w:lang w:val="es-AR"/>
        </w:rPr>
        <w:t>Moneda de Suscripción, Integración y Pagos</w:t>
      </w:r>
      <w:r w:rsidRPr="00507577">
        <w:rPr>
          <w:rFonts w:ascii="Times New Roman" w:hAnsi="Times New Roman"/>
          <w:b/>
          <w:bCs/>
          <w:sz w:val="20"/>
          <w:lang w:val="es-AR"/>
        </w:rPr>
        <w:t>:</w:t>
      </w:r>
      <w:r w:rsidRPr="00507577">
        <w:rPr>
          <w:rFonts w:ascii="Times New Roman" w:hAnsi="Times New Roman"/>
          <w:sz w:val="20"/>
          <w:lang w:val="es-AR"/>
        </w:rPr>
        <w:t xml:space="preserve"> Las Obligaciones Negociables </w:t>
      </w:r>
      <w:r>
        <w:rPr>
          <w:rFonts w:ascii="Times New Roman" w:hAnsi="Times New Roman"/>
          <w:sz w:val="20"/>
          <w:lang w:val="es-AR"/>
        </w:rPr>
        <w:t>Clase 44</w:t>
      </w:r>
      <w:r w:rsidRPr="00507577">
        <w:rPr>
          <w:rFonts w:ascii="Times New Roman" w:hAnsi="Times New Roman"/>
          <w:sz w:val="20"/>
          <w:lang w:val="es-AR"/>
        </w:rPr>
        <w:t xml:space="preserve"> serán suscriptas e integradas en </w:t>
      </w:r>
      <w:r>
        <w:rPr>
          <w:rFonts w:ascii="Times New Roman" w:hAnsi="Times New Roman"/>
          <w:sz w:val="20"/>
          <w:lang w:val="es-AR"/>
        </w:rPr>
        <w:t>Dólares Estadounidenses</w:t>
      </w:r>
      <w:r w:rsidRPr="00507577">
        <w:rPr>
          <w:rFonts w:ascii="Times New Roman" w:hAnsi="Times New Roman"/>
          <w:sz w:val="20"/>
          <w:lang w:val="es-AR"/>
        </w:rPr>
        <w:t xml:space="preserve"> directamente por los inversores en la Fecha de Emisión y Liquidación, y serán acreditadas en las respectivas subcuentas comitentes abiertas por intermedio de los depositantes que correspondan en el ámbito del depósito colectivo administrado por CVSA. Asimismo, los pagos bajo las mismas se realizarán en </w:t>
      </w:r>
      <w:r>
        <w:rPr>
          <w:rFonts w:ascii="Times New Roman" w:hAnsi="Times New Roman"/>
          <w:sz w:val="20"/>
          <w:lang w:val="es-AR"/>
        </w:rPr>
        <w:t>Dólares Estadounidenses en la República Argentina</w:t>
      </w:r>
      <w:r w:rsidRPr="00507577">
        <w:rPr>
          <w:rFonts w:ascii="Times New Roman" w:hAnsi="Times New Roman"/>
          <w:sz w:val="20"/>
          <w:lang w:val="es-AR"/>
        </w:rPr>
        <w:t xml:space="preserve"> en la Fecha de Vencimiento</w:t>
      </w:r>
      <w:r w:rsidR="00536094">
        <w:rPr>
          <w:rFonts w:ascii="Times New Roman" w:hAnsi="Times New Roman"/>
          <w:sz w:val="20"/>
          <w:lang w:val="es-AR"/>
        </w:rPr>
        <w:t xml:space="preserve"> de las Obligaciones Negociables Clase 44</w:t>
      </w:r>
      <w:r w:rsidRPr="00507577">
        <w:rPr>
          <w:rFonts w:ascii="Times New Roman" w:hAnsi="Times New Roman"/>
          <w:sz w:val="20"/>
          <w:lang w:val="es-AR"/>
        </w:rPr>
        <w:t xml:space="preserve"> y en cada Fecha de Pago de Intereses</w:t>
      </w:r>
      <w:r w:rsidR="00536094">
        <w:rPr>
          <w:rFonts w:ascii="Times New Roman" w:hAnsi="Times New Roman"/>
          <w:sz w:val="20"/>
          <w:lang w:val="es-AR"/>
        </w:rPr>
        <w:t xml:space="preserve"> de las Obligaciones Negociables Clase 44</w:t>
      </w:r>
      <w:r w:rsidRPr="00507577">
        <w:rPr>
          <w:rFonts w:ascii="Times New Roman" w:hAnsi="Times New Roman"/>
          <w:sz w:val="20"/>
          <w:lang w:val="es-AR"/>
        </w:rPr>
        <w:t>, según se establece más abajo</w:t>
      </w:r>
      <w:r>
        <w:rPr>
          <w:rFonts w:ascii="Times New Roman" w:hAnsi="Times New Roman"/>
          <w:sz w:val="20"/>
          <w:lang w:val="es-AR"/>
        </w:rPr>
        <w:t>.</w:t>
      </w:r>
    </w:p>
    <w:p w14:paraId="6DD8E09E" w14:textId="7E1257BA" w:rsidR="002465C5" w:rsidRPr="00507577" w:rsidRDefault="002465C5" w:rsidP="00080266">
      <w:pPr>
        <w:pStyle w:val="DPWWriterInfo"/>
        <w:numPr>
          <w:ilvl w:val="0"/>
          <w:numId w:val="15"/>
        </w:numPr>
        <w:tabs>
          <w:tab w:val="clear" w:pos="720"/>
          <w:tab w:val="num" w:pos="0"/>
        </w:tabs>
        <w:spacing w:before="120" w:after="0"/>
        <w:ind w:left="-567" w:right="-660" w:firstLine="0"/>
        <w:jc w:val="both"/>
        <w:rPr>
          <w:rFonts w:ascii="Times New Roman" w:hAnsi="Times New Roman"/>
          <w:sz w:val="20"/>
          <w:u w:val="single"/>
          <w:lang w:val="es-AR"/>
        </w:rPr>
      </w:pPr>
      <w:r w:rsidRPr="00507577">
        <w:rPr>
          <w:rFonts w:ascii="Times New Roman" w:hAnsi="Times New Roman"/>
          <w:b/>
          <w:sz w:val="20"/>
          <w:u w:val="single"/>
          <w:lang w:val="es-AR"/>
        </w:rPr>
        <w:t>Monto Mínimo de Suscripción:</w:t>
      </w:r>
      <w:r w:rsidRPr="00507577">
        <w:rPr>
          <w:rFonts w:ascii="Times New Roman" w:hAnsi="Times New Roman"/>
          <w:bCs/>
          <w:sz w:val="20"/>
          <w:lang w:val="es-AR"/>
        </w:rPr>
        <w:t xml:space="preserve"> </w:t>
      </w:r>
      <w:r w:rsidRPr="00DB5CB3">
        <w:rPr>
          <w:rFonts w:ascii="Times New Roman" w:hAnsi="Times New Roman"/>
          <w:bCs/>
          <w:sz w:val="20"/>
          <w:lang w:val="es-AR"/>
        </w:rPr>
        <w:t xml:space="preserve">V/N US$ </w:t>
      </w:r>
      <w:r w:rsidR="00536094">
        <w:rPr>
          <w:rFonts w:ascii="Times New Roman" w:hAnsi="Times New Roman"/>
          <w:bCs/>
          <w:sz w:val="20"/>
          <w:lang w:val="es-AR"/>
        </w:rPr>
        <w:t>1.200</w:t>
      </w:r>
      <w:r w:rsidRPr="00DB5CB3">
        <w:rPr>
          <w:rFonts w:ascii="Times New Roman" w:hAnsi="Times New Roman"/>
          <w:bCs/>
          <w:sz w:val="20"/>
          <w:lang w:val="es-AR"/>
        </w:rPr>
        <w:t xml:space="preserve"> (Dólares Estadounidenses </w:t>
      </w:r>
      <w:r w:rsidR="00536094" w:rsidRPr="00536094">
        <w:rPr>
          <w:rFonts w:ascii="Times New Roman" w:hAnsi="Times New Roman"/>
          <w:bCs/>
          <w:sz w:val="20"/>
          <w:lang w:val="es-AR"/>
        </w:rPr>
        <w:t>mil doscientos</w:t>
      </w:r>
      <w:r w:rsidRPr="00DB5CB3">
        <w:rPr>
          <w:rFonts w:ascii="Times New Roman" w:hAnsi="Times New Roman"/>
          <w:bCs/>
          <w:sz w:val="20"/>
          <w:lang w:val="es-AR"/>
        </w:rPr>
        <w:t xml:space="preserve">) y múltiplos de V/N US$ </w:t>
      </w:r>
      <w:r w:rsidR="00536094">
        <w:rPr>
          <w:rFonts w:ascii="Times New Roman" w:hAnsi="Times New Roman"/>
          <w:bCs/>
          <w:sz w:val="20"/>
          <w:lang w:val="es-AR"/>
        </w:rPr>
        <w:t>1</w:t>
      </w:r>
      <w:r w:rsidRPr="00DB5CB3">
        <w:rPr>
          <w:rFonts w:ascii="Times New Roman" w:hAnsi="Times New Roman"/>
          <w:bCs/>
          <w:sz w:val="20"/>
          <w:lang w:val="es-AR"/>
        </w:rPr>
        <w:t xml:space="preserve"> (Dólares Estadounidenses </w:t>
      </w:r>
      <w:r w:rsidR="00536094">
        <w:rPr>
          <w:rFonts w:ascii="Times New Roman" w:hAnsi="Times New Roman"/>
          <w:bCs/>
          <w:sz w:val="20"/>
          <w:lang w:val="es-AR"/>
        </w:rPr>
        <w:t>uno</w:t>
      </w:r>
      <w:r w:rsidRPr="00DB5CB3">
        <w:rPr>
          <w:rFonts w:ascii="Times New Roman" w:hAnsi="Times New Roman"/>
          <w:bCs/>
          <w:sz w:val="20"/>
          <w:lang w:val="es-AR"/>
        </w:rPr>
        <w:t>) superiores a esa cifra</w:t>
      </w:r>
      <w:r w:rsidRPr="00507577">
        <w:rPr>
          <w:rFonts w:ascii="Times New Roman" w:hAnsi="Times New Roman"/>
          <w:bCs/>
          <w:sz w:val="20"/>
          <w:lang w:val="es-ES"/>
        </w:rPr>
        <w:t>.</w:t>
      </w:r>
    </w:p>
    <w:p w14:paraId="342E018A" w14:textId="6DE3DFDA" w:rsidR="002465C5" w:rsidRPr="000F7C4C" w:rsidRDefault="002465C5" w:rsidP="00080266">
      <w:pPr>
        <w:pStyle w:val="DPWWriterInfo"/>
        <w:numPr>
          <w:ilvl w:val="0"/>
          <w:numId w:val="15"/>
        </w:numPr>
        <w:tabs>
          <w:tab w:val="clear" w:pos="720"/>
          <w:tab w:val="num" w:pos="0"/>
        </w:tabs>
        <w:spacing w:before="120" w:after="0"/>
        <w:ind w:left="-567" w:right="-660" w:firstLine="0"/>
        <w:jc w:val="both"/>
        <w:rPr>
          <w:rFonts w:ascii="Times New Roman" w:hAnsi="Times New Roman"/>
          <w:sz w:val="20"/>
          <w:lang w:val="es-AR"/>
        </w:rPr>
      </w:pPr>
      <w:r w:rsidRPr="000F7C4C">
        <w:rPr>
          <w:rFonts w:ascii="Times New Roman" w:hAnsi="Times New Roman"/>
          <w:b/>
          <w:bCs/>
          <w:sz w:val="20"/>
          <w:u w:val="single"/>
          <w:lang w:val="es-AR"/>
        </w:rPr>
        <w:t>Valor Nominal Unitario:</w:t>
      </w:r>
      <w:r w:rsidRPr="00507577">
        <w:rPr>
          <w:rFonts w:ascii="Times New Roman" w:hAnsi="Times New Roman"/>
          <w:bCs/>
          <w:sz w:val="20"/>
          <w:lang w:val="es-AR"/>
        </w:rPr>
        <w:t xml:space="preserve"> </w:t>
      </w:r>
      <w:r w:rsidRPr="00DB5CB3">
        <w:rPr>
          <w:rFonts w:ascii="Times New Roman" w:hAnsi="Times New Roman"/>
          <w:sz w:val="20"/>
          <w:lang w:val="es-AR"/>
        </w:rPr>
        <w:t xml:space="preserve">US$ </w:t>
      </w:r>
      <w:r w:rsidR="00536094">
        <w:rPr>
          <w:rFonts w:ascii="Times New Roman" w:hAnsi="Times New Roman"/>
          <w:sz w:val="20"/>
          <w:lang w:val="es-AR"/>
        </w:rPr>
        <w:t>1</w:t>
      </w:r>
      <w:r w:rsidRPr="00DB5CB3">
        <w:rPr>
          <w:rFonts w:ascii="Times New Roman" w:hAnsi="Times New Roman"/>
          <w:sz w:val="20"/>
          <w:lang w:val="es-AR"/>
        </w:rPr>
        <w:t xml:space="preserve"> (Dólares Estadounidenses </w:t>
      </w:r>
      <w:r w:rsidR="00536094">
        <w:rPr>
          <w:rFonts w:ascii="Times New Roman" w:hAnsi="Times New Roman"/>
          <w:sz w:val="20"/>
          <w:lang w:val="es-AR"/>
        </w:rPr>
        <w:t>uno</w:t>
      </w:r>
      <w:r w:rsidRPr="00DB5CB3">
        <w:rPr>
          <w:rFonts w:ascii="Times New Roman" w:hAnsi="Times New Roman"/>
          <w:sz w:val="20"/>
          <w:lang w:val="es-AR"/>
        </w:rPr>
        <w:t>)</w:t>
      </w:r>
      <w:r>
        <w:rPr>
          <w:rFonts w:ascii="Times New Roman" w:hAnsi="Times New Roman"/>
          <w:sz w:val="20"/>
          <w:lang w:val="es-AR"/>
        </w:rPr>
        <w:t>.</w:t>
      </w:r>
    </w:p>
    <w:p w14:paraId="63FDD396" w14:textId="7722EAC1" w:rsidR="002465C5" w:rsidRPr="00507577" w:rsidRDefault="002465C5" w:rsidP="00080266">
      <w:pPr>
        <w:pStyle w:val="DPWWriterInfo"/>
        <w:numPr>
          <w:ilvl w:val="0"/>
          <w:numId w:val="15"/>
        </w:numPr>
        <w:tabs>
          <w:tab w:val="clear" w:pos="720"/>
          <w:tab w:val="num" w:pos="0"/>
        </w:tabs>
        <w:spacing w:before="120" w:after="0"/>
        <w:ind w:left="-567" w:right="-660" w:firstLine="0"/>
        <w:jc w:val="both"/>
        <w:rPr>
          <w:rFonts w:ascii="Times New Roman" w:hAnsi="Times New Roman"/>
          <w:sz w:val="20"/>
          <w:lang w:val="es-AR"/>
        </w:rPr>
      </w:pPr>
      <w:r w:rsidRPr="00507577">
        <w:rPr>
          <w:rFonts w:ascii="Times New Roman" w:hAnsi="Times New Roman"/>
          <w:b/>
          <w:sz w:val="20"/>
          <w:u w:val="single"/>
          <w:lang w:val="es-AR"/>
        </w:rPr>
        <w:t>Unidad Mínima de Negociación:</w:t>
      </w:r>
      <w:r w:rsidRPr="00507577">
        <w:rPr>
          <w:rFonts w:ascii="Times New Roman" w:hAnsi="Times New Roman"/>
          <w:bCs/>
          <w:sz w:val="20"/>
          <w:lang w:val="es-AR"/>
        </w:rPr>
        <w:t xml:space="preserve"> </w:t>
      </w:r>
      <w:r w:rsidR="00536094" w:rsidRPr="00536094">
        <w:rPr>
          <w:rFonts w:ascii="Times New Roman" w:hAnsi="Times New Roman"/>
          <w:bCs/>
          <w:sz w:val="20"/>
          <w:lang w:val="es-AR"/>
        </w:rPr>
        <w:t>V/N US$ 1.200 (Dólares Estadounidenses mil doscientos) y múltiplos de V/N US$ 1 (Dólares Estadounidenses uno) superiores a esa cifra. Las Obligaciones Negociables Clase 44 no podrán ser negociadas por montos inferiores a V/N US$ 1.200 (Dólares Estadounidenses mil doscientos).</w:t>
      </w:r>
    </w:p>
    <w:p w14:paraId="0D3032BF" w14:textId="77777777" w:rsidR="002465C5" w:rsidRDefault="002465C5" w:rsidP="00080266">
      <w:pPr>
        <w:pStyle w:val="DPWWriterInfo"/>
        <w:numPr>
          <w:ilvl w:val="0"/>
          <w:numId w:val="15"/>
        </w:numPr>
        <w:tabs>
          <w:tab w:val="clear" w:pos="720"/>
          <w:tab w:val="num" w:pos="0"/>
        </w:tabs>
        <w:spacing w:before="120" w:after="0"/>
        <w:ind w:left="-567" w:right="-660" w:firstLine="0"/>
        <w:jc w:val="both"/>
        <w:rPr>
          <w:rFonts w:ascii="Times New Roman" w:hAnsi="Times New Roman"/>
          <w:sz w:val="20"/>
          <w:lang w:val="es-AR"/>
        </w:rPr>
      </w:pPr>
      <w:r>
        <w:rPr>
          <w:rFonts w:ascii="Times New Roman" w:hAnsi="Times New Roman"/>
          <w:b/>
          <w:bCs/>
          <w:sz w:val="20"/>
          <w:u w:val="single"/>
          <w:lang w:val="es-AR"/>
        </w:rPr>
        <w:t>Fecha de Vencimiento de las Obligaciones Negociables Clase 44</w:t>
      </w:r>
      <w:r w:rsidRPr="00D70E18">
        <w:rPr>
          <w:rFonts w:ascii="Times New Roman" w:hAnsi="Times New Roman"/>
          <w:b/>
          <w:bCs/>
          <w:sz w:val="20"/>
          <w:lang w:val="es-AR"/>
        </w:rPr>
        <w:t>:</w:t>
      </w:r>
      <w:r>
        <w:rPr>
          <w:rFonts w:ascii="Times New Roman" w:hAnsi="Times New Roman"/>
          <w:sz w:val="20"/>
          <w:lang w:val="es-AR"/>
        </w:rPr>
        <w:t xml:space="preserve"> </w:t>
      </w:r>
      <w:r w:rsidRPr="00DB5CB3">
        <w:rPr>
          <w:rFonts w:ascii="Times New Roman" w:hAnsi="Times New Roman"/>
          <w:sz w:val="20"/>
          <w:lang w:val="es-AR"/>
        </w:rPr>
        <w:t xml:space="preserve">Las Obligaciones Negociables </w:t>
      </w:r>
      <w:r>
        <w:rPr>
          <w:rFonts w:ascii="Times New Roman" w:hAnsi="Times New Roman"/>
          <w:sz w:val="20"/>
          <w:lang w:val="es-AR"/>
        </w:rPr>
        <w:t>Clase 44</w:t>
      </w:r>
      <w:r w:rsidRPr="00DB5CB3">
        <w:rPr>
          <w:rFonts w:ascii="Times New Roman" w:hAnsi="Times New Roman"/>
          <w:sz w:val="20"/>
          <w:lang w:val="es-AR"/>
        </w:rPr>
        <w:t xml:space="preserve"> vencerán en la fecha en que se cumplan </w:t>
      </w:r>
      <w:r>
        <w:rPr>
          <w:rFonts w:ascii="Times New Roman" w:hAnsi="Times New Roman"/>
          <w:sz w:val="20"/>
          <w:lang w:val="es-AR"/>
        </w:rPr>
        <w:t>24 meses</w:t>
      </w:r>
      <w:r w:rsidRPr="00DB5CB3">
        <w:rPr>
          <w:rFonts w:ascii="Times New Roman" w:hAnsi="Times New Roman"/>
          <w:sz w:val="20"/>
          <w:lang w:val="es-AR"/>
        </w:rPr>
        <w:t xml:space="preserve"> contados desde la Fecha de Emisión y Liquidación. La Fecha de Vencimiento será informada en el Aviso de Resultados.</w:t>
      </w:r>
    </w:p>
    <w:p w14:paraId="0D178D6D" w14:textId="77777777" w:rsidR="002465C5" w:rsidRDefault="002465C5" w:rsidP="00080266">
      <w:pPr>
        <w:pStyle w:val="DPWWriterInfo"/>
        <w:numPr>
          <w:ilvl w:val="0"/>
          <w:numId w:val="15"/>
        </w:numPr>
        <w:tabs>
          <w:tab w:val="clear" w:pos="720"/>
          <w:tab w:val="num" w:pos="0"/>
        </w:tabs>
        <w:spacing w:before="120" w:after="0"/>
        <w:ind w:left="-567" w:right="-660" w:firstLine="0"/>
        <w:jc w:val="both"/>
        <w:rPr>
          <w:rFonts w:ascii="Times New Roman" w:hAnsi="Times New Roman"/>
          <w:sz w:val="20"/>
          <w:lang w:val="es-AR"/>
        </w:rPr>
      </w:pPr>
      <w:r>
        <w:rPr>
          <w:rFonts w:ascii="Times New Roman" w:hAnsi="Times New Roman"/>
          <w:b/>
          <w:bCs/>
          <w:sz w:val="20"/>
          <w:u w:val="single"/>
          <w:lang w:val="es-AR"/>
        </w:rPr>
        <w:t>Amortización</w:t>
      </w:r>
      <w:r>
        <w:rPr>
          <w:rFonts w:ascii="Times New Roman" w:hAnsi="Times New Roman"/>
          <w:b/>
          <w:bCs/>
          <w:sz w:val="20"/>
          <w:lang w:val="es-AR"/>
        </w:rPr>
        <w:t>:</w:t>
      </w:r>
      <w:r>
        <w:rPr>
          <w:rFonts w:ascii="Times New Roman" w:hAnsi="Times New Roman"/>
          <w:sz w:val="20"/>
          <w:lang w:val="es-AR"/>
        </w:rPr>
        <w:t xml:space="preserve"> </w:t>
      </w:r>
      <w:r w:rsidRPr="00DB5CB3">
        <w:rPr>
          <w:rFonts w:ascii="Times New Roman" w:hAnsi="Times New Roman"/>
          <w:sz w:val="20"/>
          <w:lang w:val="es-AR"/>
        </w:rPr>
        <w:t xml:space="preserve">El capital de las Obligaciones Negociables </w:t>
      </w:r>
      <w:r>
        <w:rPr>
          <w:rFonts w:ascii="Times New Roman" w:hAnsi="Times New Roman"/>
          <w:sz w:val="20"/>
          <w:lang w:val="es-AR"/>
        </w:rPr>
        <w:t>Clase 44</w:t>
      </w:r>
      <w:r w:rsidRPr="00DB5CB3">
        <w:rPr>
          <w:rFonts w:ascii="Times New Roman" w:hAnsi="Times New Roman"/>
          <w:sz w:val="20"/>
          <w:lang w:val="es-AR"/>
        </w:rPr>
        <w:t xml:space="preserve"> será pagado </w:t>
      </w:r>
      <w:r w:rsidRPr="00507577">
        <w:rPr>
          <w:rFonts w:ascii="Times New Roman" w:hAnsi="Times New Roman"/>
          <w:sz w:val="20"/>
          <w:lang w:val="es-AR"/>
        </w:rPr>
        <w:t>íntegramente y en un solo pago</w:t>
      </w:r>
      <w:r>
        <w:rPr>
          <w:rFonts w:ascii="Times New Roman" w:hAnsi="Times New Roman"/>
          <w:sz w:val="20"/>
          <w:lang w:val="es-AR"/>
        </w:rPr>
        <w:t xml:space="preserve"> </w:t>
      </w:r>
      <w:r w:rsidRPr="00DB5CB3">
        <w:rPr>
          <w:rFonts w:ascii="Times New Roman" w:hAnsi="Times New Roman"/>
          <w:sz w:val="20"/>
          <w:lang w:val="es-AR"/>
        </w:rPr>
        <w:t xml:space="preserve">en la Fecha de Vencimiento de las Obligaciones Negociables </w:t>
      </w:r>
      <w:r>
        <w:rPr>
          <w:rFonts w:ascii="Times New Roman" w:hAnsi="Times New Roman"/>
          <w:sz w:val="20"/>
          <w:lang w:val="es-AR"/>
        </w:rPr>
        <w:t>Clase 44.</w:t>
      </w:r>
    </w:p>
    <w:p w14:paraId="5B993F60" w14:textId="3B793585" w:rsidR="002465C5" w:rsidRDefault="002465C5" w:rsidP="00080266">
      <w:pPr>
        <w:pStyle w:val="DPWWriterInfo"/>
        <w:numPr>
          <w:ilvl w:val="0"/>
          <w:numId w:val="15"/>
        </w:numPr>
        <w:tabs>
          <w:tab w:val="clear" w:pos="720"/>
          <w:tab w:val="num" w:pos="0"/>
        </w:tabs>
        <w:spacing w:before="120" w:after="0"/>
        <w:ind w:left="-567" w:right="-660" w:firstLine="0"/>
        <w:jc w:val="both"/>
        <w:rPr>
          <w:rFonts w:ascii="Times New Roman" w:hAnsi="Times New Roman"/>
          <w:sz w:val="20"/>
          <w:lang w:val="es-AR"/>
        </w:rPr>
      </w:pPr>
      <w:r w:rsidRPr="00DB5CB3">
        <w:rPr>
          <w:rFonts w:ascii="Times New Roman" w:hAnsi="Times New Roman"/>
          <w:b/>
          <w:bCs/>
          <w:sz w:val="20"/>
          <w:u w:val="single"/>
          <w:lang w:val="es-AR"/>
        </w:rPr>
        <w:t>Tasa de Interés</w:t>
      </w:r>
      <w:r w:rsidRPr="00DB5CB3">
        <w:rPr>
          <w:rFonts w:ascii="Times New Roman" w:hAnsi="Times New Roman"/>
          <w:b/>
          <w:bCs/>
          <w:sz w:val="20"/>
          <w:lang w:val="es-AR"/>
        </w:rPr>
        <w:t>:</w:t>
      </w:r>
      <w:r w:rsidRPr="00DB5CB3">
        <w:rPr>
          <w:rFonts w:ascii="Times New Roman" w:hAnsi="Times New Roman"/>
          <w:sz w:val="20"/>
          <w:lang w:val="es-AR"/>
        </w:rPr>
        <w:t xml:space="preserve"> El capital no amortizado de las Obligaciones Negociables </w:t>
      </w:r>
      <w:r>
        <w:rPr>
          <w:rFonts w:ascii="Times New Roman" w:hAnsi="Times New Roman"/>
          <w:sz w:val="20"/>
          <w:lang w:val="es-AR"/>
        </w:rPr>
        <w:t>Clase 44</w:t>
      </w:r>
      <w:r w:rsidRPr="00DB5CB3">
        <w:rPr>
          <w:rFonts w:ascii="Times New Roman" w:hAnsi="Times New Roman"/>
          <w:sz w:val="20"/>
          <w:lang w:val="es-AR"/>
        </w:rPr>
        <w:t xml:space="preserve"> devengará intereses desde la Fecha de Emisión y Liquidación y hasta la fecha en que dicho capital sea totalmente amortizado a una tasa fija equivalente a la Tasa Fija Aplicable</w:t>
      </w:r>
      <w:r w:rsidR="00536094">
        <w:rPr>
          <w:rFonts w:ascii="Times New Roman" w:hAnsi="Times New Roman"/>
          <w:sz w:val="20"/>
          <w:lang w:val="es-AR"/>
        </w:rPr>
        <w:t xml:space="preserve"> Clase 44</w:t>
      </w:r>
      <w:r w:rsidRPr="00DB5CB3">
        <w:rPr>
          <w:rFonts w:ascii="Times New Roman" w:hAnsi="Times New Roman"/>
          <w:sz w:val="20"/>
          <w:lang w:val="es-AR"/>
        </w:rPr>
        <w:t xml:space="preserve"> (según se define a continuación). La Tasa Fija Aplicable</w:t>
      </w:r>
      <w:r w:rsidR="00536094">
        <w:rPr>
          <w:rFonts w:ascii="Times New Roman" w:hAnsi="Times New Roman"/>
          <w:sz w:val="20"/>
          <w:lang w:val="es-AR"/>
        </w:rPr>
        <w:t xml:space="preserve"> Clase 44</w:t>
      </w:r>
      <w:r w:rsidRPr="00DB5CB3">
        <w:rPr>
          <w:rFonts w:ascii="Times New Roman" w:hAnsi="Times New Roman"/>
          <w:sz w:val="20"/>
          <w:lang w:val="es-AR"/>
        </w:rPr>
        <w:t xml:space="preserve"> podrá ser mayor o igual al 0,00%, pero nunca menor. En caso de que la Tasa Fija Aplicable</w:t>
      </w:r>
      <w:r w:rsidR="00536094">
        <w:rPr>
          <w:rFonts w:ascii="Times New Roman" w:hAnsi="Times New Roman"/>
          <w:sz w:val="20"/>
          <w:lang w:val="es-AR"/>
        </w:rPr>
        <w:t xml:space="preserve"> Clase 44</w:t>
      </w:r>
      <w:r w:rsidRPr="00DB5CB3">
        <w:rPr>
          <w:rFonts w:ascii="Times New Roman" w:hAnsi="Times New Roman"/>
          <w:sz w:val="20"/>
          <w:lang w:val="es-AR"/>
        </w:rPr>
        <w:t xml:space="preserve"> fuera igual a 0,00%, las Obligaciones Negociables </w:t>
      </w:r>
      <w:r>
        <w:rPr>
          <w:rFonts w:ascii="Times New Roman" w:hAnsi="Times New Roman"/>
          <w:sz w:val="20"/>
          <w:lang w:val="es-AR"/>
        </w:rPr>
        <w:t>Clase 44</w:t>
      </w:r>
      <w:r w:rsidRPr="00DB5CB3">
        <w:rPr>
          <w:rFonts w:ascii="Times New Roman" w:hAnsi="Times New Roman"/>
          <w:sz w:val="20"/>
          <w:lang w:val="es-AR"/>
        </w:rPr>
        <w:t xml:space="preserve"> no devengarán intereses.</w:t>
      </w:r>
    </w:p>
    <w:p w14:paraId="2121293B" w14:textId="1D04B29B" w:rsidR="002465C5" w:rsidRPr="00DB5CB3" w:rsidRDefault="002465C5" w:rsidP="00080266">
      <w:pPr>
        <w:pStyle w:val="DPWWriterInfo"/>
        <w:tabs>
          <w:tab w:val="num" w:pos="0"/>
        </w:tabs>
        <w:spacing w:before="120" w:after="0"/>
        <w:ind w:left="-567" w:right="-660"/>
        <w:jc w:val="both"/>
        <w:rPr>
          <w:rFonts w:ascii="Times New Roman" w:hAnsi="Times New Roman"/>
          <w:sz w:val="20"/>
          <w:lang w:val="es-AR"/>
        </w:rPr>
      </w:pPr>
      <w:r w:rsidRPr="00DB5CB3">
        <w:rPr>
          <w:rFonts w:ascii="Times New Roman" w:hAnsi="Times New Roman"/>
          <w:sz w:val="20"/>
          <w:lang w:val="es-AR"/>
        </w:rPr>
        <w:t>Por “Tasa Fija Aplicable</w:t>
      </w:r>
      <w:r w:rsidR="00536094">
        <w:rPr>
          <w:rFonts w:ascii="Times New Roman" w:hAnsi="Times New Roman"/>
          <w:sz w:val="20"/>
          <w:lang w:val="es-AR"/>
        </w:rPr>
        <w:t xml:space="preserve"> Clase 44</w:t>
      </w:r>
      <w:r w:rsidRPr="00DB5CB3">
        <w:rPr>
          <w:rFonts w:ascii="Times New Roman" w:hAnsi="Times New Roman"/>
          <w:sz w:val="20"/>
          <w:lang w:val="es-AR"/>
        </w:rPr>
        <w:t xml:space="preserve">” se entiende a la tasa fija nominal anual aplicable a las Obligaciones Negociables </w:t>
      </w:r>
      <w:r>
        <w:rPr>
          <w:rFonts w:ascii="Times New Roman" w:hAnsi="Times New Roman"/>
          <w:sz w:val="20"/>
          <w:lang w:val="es-AR"/>
        </w:rPr>
        <w:t>Clase 44</w:t>
      </w:r>
      <w:r w:rsidRPr="00DB5CB3">
        <w:rPr>
          <w:rFonts w:ascii="Times New Roman" w:hAnsi="Times New Roman"/>
          <w:sz w:val="20"/>
          <w:lang w:val="es-AR"/>
        </w:rPr>
        <w:t xml:space="preserve"> que surgirá del proceso licitatorio descripto en la sección “</w:t>
      </w:r>
      <w:r w:rsidRPr="00D70E18">
        <w:rPr>
          <w:rFonts w:ascii="Times New Roman" w:hAnsi="Times New Roman"/>
          <w:i/>
          <w:iCs/>
          <w:sz w:val="20"/>
          <w:lang w:val="es-AR"/>
        </w:rPr>
        <w:t>Plan de Distribución</w:t>
      </w:r>
      <w:r w:rsidRPr="00DB5CB3">
        <w:rPr>
          <w:rFonts w:ascii="Times New Roman" w:hAnsi="Times New Roman"/>
          <w:sz w:val="20"/>
          <w:lang w:val="es-AR"/>
        </w:rPr>
        <w:t xml:space="preserve">” del Suplemento de Prospecto y que será determinada luego de la finalización del </w:t>
      </w:r>
      <w:r>
        <w:rPr>
          <w:rFonts w:ascii="Times New Roman" w:hAnsi="Times New Roman"/>
          <w:sz w:val="20"/>
          <w:lang w:val="es-AR"/>
        </w:rPr>
        <w:t>Período de Subasta Pública</w:t>
      </w:r>
      <w:r w:rsidRPr="00DB5CB3">
        <w:rPr>
          <w:rFonts w:ascii="Times New Roman" w:hAnsi="Times New Roman"/>
          <w:sz w:val="20"/>
          <w:lang w:val="es-AR"/>
        </w:rPr>
        <w:t xml:space="preserve"> y antes de la Fecha de Emisión y Liquidación e informada mediante el Aviso de Resultados</w:t>
      </w:r>
      <w:r w:rsidR="00536094">
        <w:rPr>
          <w:rFonts w:ascii="Times New Roman" w:hAnsi="Times New Roman"/>
          <w:sz w:val="20"/>
          <w:lang w:val="es-AR"/>
        </w:rPr>
        <w:t>.</w:t>
      </w:r>
    </w:p>
    <w:p w14:paraId="103790BB" w14:textId="6F9B8550" w:rsidR="002465C5" w:rsidRPr="00D70E18" w:rsidRDefault="002465C5" w:rsidP="00080266">
      <w:pPr>
        <w:pStyle w:val="DPWWriterInfo"/>
        <w:numPr>
          <w:ilvl w:val="0"/>
          <w:numId w:val="15"/>
        </w:numPr>
        <w:tabs>
          <w:tab w:val="clear" w:pos="720"/>
          <w:tab w:val="num" w:pos="0"/>
        </w:tabs>
        <w:spacing w:before="120" w:after="0"/>
        <w:ind w:left="-567" w:right="-660" w:firstLine="0"/>
        <w:jc w:val="both"/>
        <w:rPr>
          <w:rFonts w:ascii="Times New Roman" w:hAnsi="Times New Roman"/>
          <w:sz w:val="20"/>
          <w:lang w:val="es-AR"/>
        </w:rPr>
      </w:pPr>
      <w:r>
        <w:rPr>
          <w:rFonts w:ascii="Times New Roman" w:hAnsi="Times New Roman"/>
          <w:b/>
          <w:sz w:val="20"/>
          <w:u w:val="single"/>
          <w:lang w:val="es-ES"/>
        </w:rPr>
        <w:t>D</w:t>
      </w:r>
      <w:r w:rsidRPr="00507577">
        <w:rPr>
          <w:rFonts w:ascii="Times New Roman" w:hAnsi="Times New Roman"/>
          <w:b/>
          <w:sz w:val="20"/>
          <w:u w:val="single"/>
          <w:lang w:val="es-ES"/>
        </w:rPr>
        <w:t xml:space="preserve">eterminación de la Tasa Fija </w:t>
      </w:r>
      <w:r>
        <w:rPr>
          <w:rFonts w:ascii="Times New Roman" w:hAnsi="Times New Roman"/>
          <w:b/>
          <w:sz w:val="20"/>
          <w:u w:val="single"/>
          <w:lang w:val="es-ES"/>
        </w:rPr>
        <w:t>Aplicable</w:t>
      </w:r>
      <w:r w:rsidR="00536094">
        <w:rPr>
          <w:rFonts w:ascii="Times New Roman" w:hAnsi="Times New Roman"/>
          <w:b/>
          <w:sz w:val="20"/>
          <w:u w:val="single"/>
          <w:lang w:val="es-ES"/>
        </w:rPr>
        <w:t xml:space="preserve"> Clase 44</w:t>
      </w:r>
      <w:r w:rsidRPr="00507577">
        <w:rPr>
          <w:rFonts w:ascii="Times New Roman" w:hAnsi="Times New Roman"/>
          <w:b/>
          <w:sz w:val="20"/>
          <w:u w:val="single"/>
          <w:lang w:val="es-ES"/>
        </w:rPr>
        <w:t>:</w:t>
      </w:r>
      <w:r w:rsidRPr="00507577">
        <w:rPr>
          <w:rFonts w:ascii="Times New Roman" w:hAnsi="Times New Roman"/>
          <w:bCs/>
          <w:sz w:val="20"/>
          <w:lang w:val="es-ES"/>
        </w:rPr>
        <w:t xml:space="preserve"> Tan pronto como sea posible luego de finalizado el </w:t>
      </w:r>
      <w:r>
        <w:rPr>
          <w:rFonts w:ascii="Times New Roman" w:hAnsi="Times New Roman"/>
          <w:bCs/>
          <w:sz w:val="20"/>
          <w:lang w:val="es-ES"/>
        </w:rPr>
        <w:t>Período de Subasta Pública</w:t>
      </w:r>
      <w:r w:rsidRPr="00507577">
        <w:rPr>
          <w:rFonts w:ascii="Times New Roman" w:hAnsi="Times New Roman"/>
          <w:bCs/>
          <w:sz w:val="20"/>
          <w:lang w:val="es-ES"/>
        </w:rPr>
        <w:t xml:space="preserve">, las ofertas correspondientes serán ordenadas en forma ascendente, de menor a mayor, en el sistema “SIOPEL” </w:t>
      </w:r>
      <w:r>
        <w:rPr>
          <w:rFonts w:ascii="Times New Roman" w:hAnsi="Times New Roman"/>
          <w:bCs/>
          <w:sz w:val="20"/>
          <w:lang w:val="es-ES"/>
        </w:rPr>
        <w:t>de A3</w:t>
      </w:r>
      <w:r w:rsidRPr="00507577">
        <w:rPr>
          <w:rFonts w:ascii="Times New Roman" w:hAnsi="Times New Roman"/>
          <w:bCs/>
          <w:sz w:val="20"/>
          <w:lang w:val="es-ES"/>
        </w:rPr>
        <w:t>, el Emisor</w:t>
      </w:r>
      <w:r>
        <w:rPr>
          <w:rFonts w:ascii="Times New Roman" w:hAnsi="Times New Roman"/>
          <w:bCs/>
          <w:sz w:val="20"/>
          <w:lang w:val="es-ES"/>
        </w:rPr>
        <w:t xml:space="preserve"> </w:t>
      </w:r>
      <w:r w:rsidRPr="00507577">
        <w:rPr>
          <w:rFonts w:ascii="Times New Roman" w:hAnsi="Times New Roman"/>
          <w:bCs/>
          <w:sz w:val="20"/>
          <w:lang w:val="es-ES"/>
        </w:rPr>
        <w:t xml:space="preserve">determinará, de acuerdo con la curva de demanda de las Obligaciones Negociables </w:t>
      </w:r>
      <w:r>
        <w:rPr>
          <w:rFonts w:ascii="Times New Roman" w:hAnsi="Times New Roman"/>
          <w:bCs/>
          <w:sz w:val="20"/>
          <w:lang w:val="es-ES"/>
        </w:rPr>
        <w:t>Clase 44</w:t>
      </w:r>
      <w:r w:rsidRPr="00507577">
        <w:rPr>
          <w:rFonts w:ascii="Times New Roman" w:hAnsi="Times New Roman"/>
          <w:bCs/>
          <w:sz w:val="20"/>
          <w:lang w:val="es-ES"/>
        </w:rPr>
        <w:t xml:space="preserve">, (i) el valor nominal de las Obligaciones Negociables </w:t>
      </w:r>
      <w:r>
        <w:rPr>
          <w:rFonts w:ascii="Times New Roman" w:hAnsi="Times New Roman"/>
          <w:bCs/>
          <w:sz w:val="20"/>
          <w:lang w:val="es-ES"/>
        </w:rPr>
        <w:t>Clase 44</w:t>
      </w:r>
      <w:r w:rsidRPr="00507577">
        <w:rPr>
          <w:rFonts w:ascii="Times New Roman" w:hAnsi="Times New Roman"/>
          <w:bCs/>
          <w:sz w:val="20"/>
          <w:lang w:val="es-ES"/>
        </w:rPr>
        <w:t xml:space="preserve"> a emitir, y (</w:t>
      </w:r>
      <w:proofErr w:type="spellStart"/>
      <w:r w:rsidRPr="00507577">
        <w:rPr>
          <w:rFonts w:ascii="Times New Roman" w:hAnsi="Times New Roman"/>
          <w:bCs/>
          <w:sz w:val="20"/>
          <w:lang w:val="es-ES"/>
        </w:rPr>
        <w:t>ii</w:t>
      </w:r>
      <w:proofErr w:type="spellEnd"/>
      <w:r w:rsidRPr="00507577">
        <w:rPr>
          <w:rFonts w:ascii="Times New Roman" w:hAnsi="Times New Roman"/>
          <w:bCs/>
          <w:sz w:val="20"/>
          <w:lang w:val="es-ES"/>
        </w:rPr>
        <w:t xml:space="preserve">) la </w:t>
      </w:r>
      <w:r w:rsidRPr="00B1267F">
        <w:rPr>
          <w:rFonts w:ascii="Times New Roman" w:hAnsi="Times New Roman"/>
          <w:sz w:val="20"/>
          <w:lang w:val="es-ES"/>
        </w:rPr>
        <w:t>Tasa Fija Aplicable</w:t>
      </w:r>
      <w:r w:rsidR="00536094">
        <w:rPr>
          <w:rFonts w:ascii="Times New Roman" w:hAnsi="Times New Roman"/>
          <w:sz w:val="20"/>
          <w:lang w:val="es-ES"/>
        </w:rPr>
        <w:t xml:space="preserve"> Clase 44</w:t>
      </w:r>
      <w:r w:rsidRPr="00507577">
        <w:rPr>
          <w:rFonts w:ascii="Times New Roman" w:hAnsi="Times New Roman"/>
          <w:bCs/>
          <w:sz w:val="20"/>
          <w:lang w:val="es-ES"/>
        </w:rPr>
        <w:t xml:space="preserve">. Asimismo, en el Período de Subasta Pública, luego del cierre de la adjudicación final de las Obligaciones Negociables </w:t>
      </w:r>
      <w:r>
        <w:rPr>
          <w:rFonts w:ascii="Times New Roman" w:hAnsi="Times New Roman"/>
          <w:bCs/>
          <w:sz w:val="20"/>
          <w:lang w:val="es-ES"/>
        </w:rPr>
        <w:t>Clase 44</w:t>
      </w:r>
      <w:r w:rsidRPr="00507577">
        <w:rPr>
          <w:rFonts w:ascii="Times New Roman" w:hAnsi="Times New Roman"/>
          <w:bCs/>
          <w:sz w:val="20"/>
          <w:lang w:val="es-ES"/>
        </w:rPr>
        <w:t xml:space="preserve">, se publicará el Aviso de Resultados complementario al presente </w:t>
      </w:r>
      <w:r>
        <w:rPr>
          <w:rFonts w:ascii="Times New Roman" w:hAnsi="Times New Roman"/>
          <w:bCs/>
          <w:sz w:val="20"/>
          <w:lang w:val="es-ES"/>
        </w:rPr>
        <w:t xml:space="preserve">Aviso de Suscripción </w:t>
      </w:r>
      <w:r w:rsidRPr="00507577">
        <w:rPr>
          <w:rFonts w:ascii="Times New Roman" w:hAnsi="Times New Roman"/>
          <w:bCs/>
          <w:sz w:val="20"/>
          <w:lang w:val="es-ES"/>
        </w:rPr>
        <w:t xml:space="preserve">en los Sistemas Informativos, indicando el valor total ofertado de Obligaciones Negociables </w:t>
      </w:r>
      <w:r>
        <w:rPr>
          <w:rFonts w:ascii="Times New Roman" w:hAnsi="Times New Roman"/>
          <w:bCs/>
          <w:sz w:val="20"/>
          <w:lang w:val="es-ES"/>
        </w:rPr>
        <w:t>Clase 44</w:t>
      </w:r>
      <w:r w:rsidRPr="00507577">
        <w:rPr>
          <w:rFonts w:ascii="Times New Roman" w:hAnsi="Times New Roman"/>
          <w:bCs/>
          <w:sz w:val="20"/>
          <w:lang w:val="es-ES"/>
        </w:rPr>
        <w:t xml:space="preserve">, el valor a emitirse de Obligaciones Negociables </w:t>
      </w:r>
      <w:r>
        <w:rPr>
          <w:rFonts w:ascii="Times New Roman" w:hAnsi="Times New Roman"/>
          <w:bCs/>
          <w:sz w:val="20"/>
          <w:lang w:val="es-ES"/>
        </w:rPr>
        <w:t>Clase 44</w:t>
      </w:r>
      <w:r w:rsidRPr="00507577">
        <w:rPr>
          <w:rFonts w:ascii="Times New Roman" w:hAnsi="Times New Roman"/>
          <w:bCs/>
          <w:sz w:val="20"/>
          <w:lang w:val="es-ES"/>
        </w:rPr>
        <w:t xml:space="preserve"> y la Tasa Fija Aplicable</w:t>
      </w:r>
      <w:r w:rsidR="00536094">
        <w:rPr>
          <w:rFonts w:ascii="Times New Roman" w:hAnsi="Times New Roman"/>
          <w:bCs/>
          <w:sz w:val="20"/>
          <w:lang w:val="es-ES"/>
        </w:rPr>
        <w:t xml:space="preserve"> Clase 44</w:t>
      </w:r>
      <w:r w:rsidRPr="00507577">
        <w:rPr>
          <w:rFonts w:ascii="Times New Roman" w:hAnsi="Times New Roman"/>
          <w:bCs/>
          <w:sz w:val="20"/>
          <w:lang w:val="es-ES"/>
        </w:rPr>
        <w:t>. El Agente de Liquidación será el responsable de ingresar el resultado en el pliego del SIOPEL.</w:t>
      </w:r>
    </w:p>
    <w:p w14:paraId="3EB816AC" w14:textId="754D4EDC" w:rsidR="002465C5" w:rsidRPr="00AF3835" w:rsidRDefault="002465C5" w:rsidP="00080266">
      <w:pPr>
        <w:pStyle w:val="DPWWriterInfo"/>
        <w:numPr>
          <w:ilvl w:val="0"/>
          <w:numId w:val="15"/>
        </w:numPr>
        <w:tabs>
          <w:tab w:val="clear" w:pos="720"/>
          <w:tab w:val="num" w:pos="0"/>
        </w:tabs>
        <w:spacing w:before="120" w:after="0"/>
        <w:ind w:left="-567" w:right="-660" w:firstLine="0"/>
        <w:jc w:val="both"/>
        <w:rPr>
          <w:rFonts w:ascii="Times New Roman" w:hAnsi="Times New Roman"/>
          <w:sz w:val="20"/>
          <w:lang w:val="es-AR"/>
        </w:rPr>
      </w:pPr>
      <w:r>
        <w:rPr>
          <w:rFonts w:ascii="Times New Roman" w:hAnsi="Times New Roman"/>
          <w:b/>
          <w:sz w:val="20"/>
          <w:u w:val="single"/>
          <w:lang w:val="es-AR"/>
        </w:rPr>
        <w:lastRenderedPageBreak/>
        <w:t>P</w:t>
      </w:r>
      <w:r w:rsidRPr="00507577">
        <w:rPr>
          <w:rFonts w:ascii="Times New Roman" w:hAnsi="Times New Roman"/>
          <w:b/>
          <w:sz w:val="20"/>
          <w:u w:val="single"/>
          <w:lang w:val="es-AR"/>
        </w:rPr>
        <w:t>ago de Intereses:</w:t>
      </w:r>
      <w:r w:rsidRPr="00507577">
        <w:rPr>
          <w:rFonts w:ascii="Times New Roman" w:hAnsi="Times New Roman"/>
          <w:b/>
          <w:sz w:val="20"/>
          <w:lang w:val="es-AR"/>
        </w:rPr>
        <w:t xml:space="preserve"> </w:t>
      </w:r>
      <w:r w:rsidRPr="004F3197">
        <w:rPr>
          <w:rFonts w:ascii="Times New Roman" w:hAnsi="Times New Roman"/>
          <w:bCs/>
          <w:sz w:val="20"/>
          <w:lang w:val="es-AR"/>
        </w:rPr>
        <w:t xml:space="preserve">Los intereses que devengue el capital no amortizado de las Obligaciones Negociables </w:t>
      </w:r>
      <w:r>
        <w:rPr>
          <w:rFonts w:ascii="Times New Roman" w:hAnsi="Times New Roman"/>
          <w:bCs/>
          <w:sz w:val="20"/>
          <w:lang w:val="es-AR"/>
        </w:rPr>
        <w:t>Clase 44</w:t>
      </w:r>
      <w:r w:rsidRPr="004F3197">
        <w:rPr>
          <w:rFonts w:ascii="Times New Roman" w:hAnsi="Times New Roman"/>
          <w:bCs/>
          <w:sz w:val="20"/>
          <w:lang w:val="es-AR"/>
        </w:rPr>
        <w:t xml:space="preserve"> serán pagaderos semestralmente</w:t>
      </w:r>
      <w:r>
        <w:rPr>
          <w:rFonts w:ascii="Times New Roman" w:hAnsi="Times New Roman"/>
          <w:bCs/>
          <w:sz w:val="20"/>
          <w:lang w:val="es-AR"/>
        </w:rPr>
        <w:t xml:space="preserve"> </w:t>
      </w:r>
      <w:r w:rsidRPr="004F3197">
        <w:rPr>
          <w:rFonts w:ascii="Times New Roman" w:hAnsi="Times New Roman"/>
          <w:bCs/>
          <w:sz w:val="20"/>
          <w:lang w:val="es-AR"/>
        </w:rPr>
        <w:t>por período vencido en las fechas que sean un número de día idéntico a la Fecha de Emisión y Liquidación, pero del correspondiente mes</w:t>
      </w:r>
      <w:r>
        <w:rPr>
          <w:rFonts w:ascii="Times New Roman" w:hAnsi="Times New Roman"/>
          <w:bCs/>
          <w:sz w:val="20"/>
          <w:lang w:val="es-AR"/>
        </w:rPr>
        <w:t xml:space="preserve"> y año</w:t>
      </w:r>
      <w:r w:rsidRPr="004F3197">
        <w:rPr>
          <w:rFonts w:ascii="Times New Roman" w:hAnsi="Times New Roman"/>
          <w:bCs/>
          <w:sz w:val="20"/>
          <w:lang w:val="es-AR"/>
        </w:rPr>
        <w:t>, desde la Fecha de Emisión y Liquidación y hasta la Fecha de Vencimiento</w:t>
      </w:r>
      <w:r w:rsidR="00536094">
        <w:rPr>
          <w:rFonts w:ascii="Times New Roman" w:hAnsi="Times New Roman"/>
          <w:bCs/>
          <w:sz w:val="20"/>
          <w:lang w:val="es-AR"/>
        </w:rPr>
        <w:t xml:space="preserve"> de las Obligaciones Negociables Clase 44</w:t>
      </w:r>
      <w:r w:rsidRPr="004F3197">
        <w:rPr>
          <w:rFonts w:ascii="Times New Roman" w:hAnsi="Times New Roman"/>
          <w:bCs/>
          <w:sz w:val="20"/>
          <w:lang w:val="es-AR"/>
        </w:rPr>
        <w:t xml:space="preserve"> correspondiente (cada una, una “</w:t>
      </w:r>
      <w:r w:rsidRPr="00891AFA">
        <w:rPr>
          <w:rFonts w:ascii="Times New Roman" w:hAnsi="Times New Roman"/>
          <w:bCs/>
          <w:sz w:val="20"/>
          <w:u w:val="single"/>
          <w:lang w:val="es-AR"/>
        </w:rPr>
        <w:t>Fecha de Pago de Intereses</w:t>
      </w:r>
      <w:r w:rsidR="00536094">
        <w:rPr>
          <w:rFonts w:ascii="Times New Roman" w:hAnsi="Times New Roman"/>
          <w:bCs/>
          <w:sz w:val="20"/>
          <w:u w:val="single"/>
          <w:lang w:val="es-AR"/>
        </w:rPr>
        <w:t xml:space="preserve"> de las Obligaciones Negociables Clase 44</w:t>
      </w:r>
      <w:r w:rsidRPr="004F3197">
        <w:rPr>
          <w:rFonts w:ascii="Times New Roman" w:hAnsi="Times New Roman"/>
          <w:bCs/>
          <w:sz w:val="20"/>
          <w:lang w:val="es-AR"/>
        </w:rPr>
        <w:t>”</w:t>
      </w:r>
      <w:r>
        <w:rPr>
          <w:rFonts w:ascii="Times New Roman" w:hAnsi="Times New Roman"/>
          <w:bCs/>
          <w:sz w:val="20"/>
          <w:lang w:val="es-AR"/>
        </w:rPr>
        <w:t xml:space="preserve"> </w:t>
      </w:r>
      <w:r w:rsidRPr="004F3197">
        <w:rPr>
          <w:rFonts w:ascii="Times New Roman" w:hAnsi="Times New Roman"/>
          <w:bCs/>
          <w:sz w:val="20"/>
          <w:lang w:val="es-AR"/>
        </w:rPr>
        <w:t>y en conjunto, las “</w:t>
      </w:r>
      <w:r w:rsidRPr="00891AFA">
        <w:rPr>
          <w:rFonts w:ascii="Times New Roman" w:hAnsi="Times New Roman"/>
          <w:bCs/>
          <w:sz w:val="20"/>
          <w:u w:val="single"/>
          <w:lang w:val="es-AR"/>
        </w:rPr>
        <w:t>Fechas de Pago de Intereses</w:t>
      </w:r>
      <w:r w:rsidR="00536094">
        <w:rPr>
          <w:rFonts w:ascii="Times New Roman" w:hAnsi="Times New Roman"/>
          <w:bCs/>
          <w:sz w:val="20"/>
          <w:u w:val="single"/>
          <w:lang w:val="es-AR"/>
        </w:rPr>
        <w:t xml:space="preserve"> de las Obligaciones Negociables Clase 44</w:t>
      </w:r>
      <w:r w:rsidRPr="004F3197">
        <w:rPr>
          <w:rFonts w:ascii="Times New Roman" w:hAnsi="Times New Roman"/>
          <w:bCs/>
          <w:sz w:val="20"/>
          <w:lang w:val="es-AR"/>
        </w:rPr>
        <w:t xml:space="preserve">”). Las Fechas de Pago de Intereses correspondientes a las Obligaciones Negociables </w:t>
      </w:r>
      <w:r>
        <w:rPr>
          <w:rFonts w:ascii="Times New Roman" w:hAnsi="Times New Roman"/>
          <w:bCs/>
          <w:sz w:val="20"/>
          <w:lang w:val="es-AR"/>
        </w:rPr>
        <w:t>Clase 44</w:t>
      </w:r>
      <w:r w:rsidRPr="004F3197">
        <w:rPr>
          <w:rFonts w:ascii="Times New Roman" w:hAnsi="Times New Roman"/>
          <w:bCs/>
          <w:sz w:val="20"/>
          <w:lang w:val="es-AR"/>
        </w:rPr>
        <w:t xml:space="preserve"> serán informadas mediante la publicación del Aviso de Resultados</w:t>
      </w:r>
      <w:r w:rsidRPr="00507577">
        <w:rPr>
          <w:rFonts w:ascii="Times New Roman" w:hAnsi="Times New Roman"/>
          <w:bCs/>
          <w:sz w:val="20"/>
          <w:lang w:val="es-AR"/>
        </w:rPr>
        <w:t>.</w:t>
      </w:r>
    </w:p>
    <w:p w14:paraId="5563F5B3" w14:textId="77777777" w:rsidR="00536094" w:rsidRPr="00080266" w:rsidRDefault="002465C5" w:rsidP="001F5953">
      <w:pPr>
        <w:pStyle w:val="DPWWriterInfo"/>
        <w:numPr>
          <w:ilvl w:val="0"/>
          <w:numId w:val="15"/>
        </w:numPr>
        <w:tabs>
          <w:tab w:val="clear" w:pos="720"/>
          <w:tab w:val="num" w:pos="0"/>
        </w:tabs>
        <w:spacing w:before="120" w:after="0"/>
        <w:ind w:left="-567" w:right="-660" w:firstLine="0"/>
        <w:jc w:val="both"/>
        <w:rPr>
          <w:rFonts w:ascii="Times New Roman" w:hAnsi="Times New Roman"/>
          <w:b/>
          <w:sz w:val="20"/>
          <w:u w:val="single"/>
          <w:lang w:val="es-AR"/>
        </w:rPr>
      </w:pPr>
      <w:r w:rsidRPr="00536094">
        <w:rPr>
          <w:rFonts w:ascii="Times New Roman" w:hAnsi="Times New Roman"/>
          <w:b/>
          <w:bCs/>
          <w:sz w:val="20"/>
          <w:u w:val="single"/>
          <w:lang w:val="es-AR"/>
        </w:rPr>
        <w:t>Período de Devengamiento de Intereses:</w:t>
      </w:r>
      <w:r w:rsidRPr="00536094">
        <w:rPr>
          <w:rFonts w:ascii="Times New Roman" w:hAnsi="Times New Roman"/>
          <w:sz w:val="20"/>
          <w:lang w:val="es-AR"/>
        </w:rPr>
        <w:t xml:space="preserve"> Significa el período comprendido entre una Fecha de Pago de Intereses</w:t>
      </w:r>
      <w:r w:rsidR="00536094" w:rsidRPr="00536094">
        <w:rPr>
          <w:rFonts w:ascii="Times New Roman" w:hAnsi="Times New Roman"/>
          <w:sz w:val="20"/>
          <w:lang w:val="es-AR"/>
        </w:rPr>
        <w:t xml:space="preserve"> de las Obligaciones Negociables Clase 44</w:t>
      </w:r>
      <w:r w:rsidRPr="00536094">
        <w:rPr>
          <w:rFonts w:ascii="Times New Roman" w:hAnsi="Times New Roman"/>
          <w:sz w:val="20"/>
          <w:lang w:val="es-AR"/>
        </w:rPr>
        <w:t xml:space="preserve"> y la Fecha de Pago de Intereses</w:t>
      </w:r>
      <w:r w:rsidR="00536094" w:rsidRPr="00536094">
        <w:rPr>
          <w:rFonts w:ascii="Times New Roman" w:hAnsi="Times New Roman"/>
          <w:sz w:val="20"/>
          <w:lang w:val="es-AR"/>
        </w:rPr>
        <w:t xml:space="preserve"> de las Obligaciones Negociables Clase 44</w:t>
      </w:r>
      <w:r w:rsidRPr="00536094">
        <w:rPr>
          <w:rFonts w:ascii="Times New Roman" w:hAnsi="Times New Roman"/>
          <w:sz w:val="20"/>
          <w:lang w:val="es-AR"/>
        </w:rPr>
        <w:t xml:space="preserve"> inmediatamente siguiente, incluyendo el primer día y excluyendo el último día. El primer Período de Devengamiento de Intereses es el comprendido entre la Fecha de Emisión y Liquidación y la primera Fecha de Pago de Intereses</w:t>
      </w:r>
      <w:r w:rsidR="00536094" w:rsidRPr="00536094">
        <w:rPr>
          <w:rFonts w:ascii="Times New Roman" w:hAnsi="Times New Roman"/>
          <w:sz w:val="20"/>
          <w:lang w:val="es-AR"/>
        </w:rPr>
        <w:t xml:space="preserve"> de las Obligaciones Negociables Clase 44</w:t>
      </w:r>
      <w:r w:rsidRPr="00536094">
        <w:rPr>
          <w:rFonts w:ascii="Times New Roman" w:hAnsi="Times New Roman"/>
          <w:sz w:val="20"/>
          <w:lang w:val="es-AR"/>
        </w:rPr>
        <w:t xml:space="preserve"> incluyendo el primer día y excluyendo el último día. El último Período de Devengamiento de Intereses es el comprendido entre la Fecha de Pago de Intereses </w:t>
      </w:r>
      <w:r w:rsidR="00536094" w:rsidRPr="00536094">
        <w:rPr>
          <w:rFonts w:ascii="Times New Roman" w:hAnsi="Times New Roman"/>
          <w:sz w:val="20"/>
          <w:lang w:val="es-AR"/>
        </w:rPr>
        <w:t xml:space="preserve">de las Obligaciones Negociables Clase 44 </w:t>
      </w:r>
      <w:r w:rsidRPr="00536094">
        <w:rPr>
          <w:rFonts w:ascii="Times New Roman" w:hAnsi="Times New Roman"/>
          <w:sz w:val="20"/>
          <w:lang w:val="es-AR"/>
        </w:rPr>
        <w:t>inmediatamente anterior a la Fecha de Vencimiento</w:t>
      </w:r>
      <w:r w:rsidR="00536094" w:rsidRPr="00536094">
        <w:rPr>
          <w:rFonts w:ascii="Times New Roman" w:hAnsi="Times New Roman"/>
          <w:sz w:val="20"/>
          <w:lang w:val="es-AR"/>
        </w:rPr>
        <w:t xml:space="preserve"> de las Obligaciones Negociables Clase 44</w:t>
      </w:r>
      <w:r w:rsidRPr="00536094">
        <w:rPr>
          <w:rFonts w:ascii="Times New Roman" w:hAnsi="Times New Roman"/>
          <w:sz w:val="20"/>
          <w:lang w:val="es-AR"/>
        </w:rPr>
        <w:t xml:space="preserve"> y dicha Fecha de Vencimiento incluyendo el primer día y excluyendo el último día.</w:t>
      </w:r>
    </w:p>
    <w:p w14:paraId="00CE26F6" w14:textId="6D8EDADC" w:rsidR="00536094" w:rsidRPr="00536094" w:rsidRDefault="00536094" w:rsidP="00536094">
      <w:pPr>
        <w:pStyle w:val="DPWWriterInfo"/>
        <w:numPr>
          <w:ilvl w:val="0"/>
          <w:numId w:val="15"/>
        </w:numPr>
        <w:tabs>
          <w:tab w:val="clear" w:pos="720"/>
          <w:tab w:val="num" w:pos="0"/>
        </w:tabs>
        <w:spacing w:before="120" w:after="0"/>
        <w:ind w:left="-567" w:right="-660" w:firstLine="0"/>
        <w:jc w:val="both"/>
        <w:rPr>
          <w:rFonts w:ascii="Times New Roman" w:hAnsi="Times New Roman"/>
          <w:b/>
          <w:sz w:val="20"/>
          <w:u w:val="single"/>
          <w:lang w:val="es-AR"/>
        </w:rPr>
      </w:pPr>
      <w:r w:rsidRPr="00536094">
        <w:rPr>
          <w:rFonts w:ascii="Times New Roman" w:hAnsi="Times New Roman"/>
          <w:b/>
          <w:bCs/>
          <w:sz w:val="20"/>
          <w:u w:val="single"/>
          <w:lang w:val="es-AR"/>
        </w:rPr>
        <w:t>Base para el Cómputo de los Días:</w:t>
      </w:r>
      <w:r w:rsidRPr="00536094">
        <w:rPr>
          <w:rFonts w:ascii="Times New Roman" w:hAnsi="Times New Roman"/>
          <w:sz w:val="20"/>
          <w:lang w:val="es-AR"/>
        </w:rPr>
        <w:t xml:space="preserve"> Para el cálculo de los intereses se considerará la cantidad real de días transcurridos y un año de 365 días (cantidad real de días transcurrido/365).</w:t>
      </w:r>
    </w:p>
    <w:p w14:paraId="08A1C2B9" w14:textId="1964F1F8" w:rsidR="002465C5" w:rsidRPr="00536094" w:rsidRDefault="002465C5" w:rsidP="00080266">
      <w:pPr>
        <w:pStyle w:val="DPWWriterInfo"/>
        <w:numPr>
          <w:ilvl w:val="0"/>
          <w:numId w:val="15"/>
        </w:numPr>
        <w:tabs>
          <w:tab w:val="clear" w:pos="720"/>
          <w:tab w:val="num" w:pos="0"/>
        </w:tabs>
        <w:spacing w:before="120" w:after="0"/>
        <w:ind w:left="-567" w:right="-660" w:firstLine="0"/>
        <w:jc w:val="both"/>
        <w:rPr>
          <w:rFonts w:ascii="Times New Roman" w:hAnsi="Times New Roman"/>
          <w:b/>
          <w:sz w:val="20"/>
          <w:u w:val="single"/>
          <w:lang w:val="es-AR"/>
        </w:rPr>
      </w:pPr>
      <w:r w:rsidRPr="00536094">
        <w:rPr>
          <w:rFonts w:ascii="Times New Roman" w:hAnsi="Times New Roman"/>
          <w:b/>
          <w:sz w:val="20"/>
          <w:u w:val="single"/>
          <w:lang w:val="es-AR"/>
        </w:rPr>
        <w:t>Calificación de Riesgo:</w:t>
      </w:r>
      <w:r w:rsidRPr="00536094">
        <w:rPr>
          <w:rFonts w:ascii="Times New Roman" w:hAnsi="Times New Roman"/>
          <w:bCs/>
          <w:sz w:val="20"/>
          <w:lang w:val="es-AR"/>
        </w:rPr>
        <w:t xml:space="preserve">  Las Obligaciones Negociables Clase 44 han obtenido con fecha [___] la calificación de riesgo de “[___]” otorgada por Fix </w:t>
      </w:r>
      <w:proofErr w:type="spellStart"/>
      <w:r w:rsidRPr="00536094">
        <w:rPr>
          <w:rFonts w:ascii="Times New Roman" w:hAnsi="Times New Roman"/>
          <w:bCs/>
          <w:sz w:val="20"/>
          <w:lang w:val="es-AR"/>
        </w:rPr>
        <w:t>Scr</w:t>
      </w:r>
      <w:proofErr w:type="spellEnd"/>
      <w:r w:rsidRPr="00536094">
        <w:rPr>
          <w:rFonts w:ascii="Times New Roman" w:hAnsi="Times New Roman"/>
          <w:bCs/>
          <w:sz w:val="20"/>
          <w:lang w:val="es-AR"/>
        </w:rPr>
        <w:t xml:space="preserve"> S.A. Agente de Calificación de Riesgo. </w:t>
      </w:r>
      <w:r w:rsidRPr="00536094">
        <w:rPr>
          <w:rFonts w:ascii="Times New Roman" w:hAnsi="Times New Roman"/>
          <w:bCs/>
          <w:sz w:val="20"/>
          <w:lang w:val="es-ES"/>
        </w:rPr>
        <w:t xml:space="preserve">Para más detalle, véase </w:t>
      </w:r>
      <w:r w:rsidRPr="00536094">
        <w:rPr>
          <w:rFonts w:ascii="Times New Roman" w:hAnsi="Times New Roman"/>
          <w:bCs/>
          <w:i/>
          <w:iCs/>
          <w:sz w:val="20"/>
          <w:lang w:val="es-ES"/>
        </w:rPr>
        <w:t>“Oferta de los Valores Negociables”</w:t>
      </w:r>
      <w:r w:rsidRPr="00536094">
        <w:rPr>
          <w:rFonts w:ascii="Times New Roman" w:hAnsi="Times New Roman"/>
          <w:bCs/>
          <w:sz w:val="20"/>
          <w:lang w:val="es-ES"/>
        </w:rPr>
        <w:t xml:space="preserve"> en el Suplemento de Prospecto. El Programa también ha recibido una calificación de riesgo, la cual puede ser consultada en </w:t>
      </w:r>
      <w:r w:rsidRPr="00536094">
        <w:rPr>
          <w:rFonts w:ascii="Times New Roman" w:hAnsi="Times New Roman"/>
          <w:bCs/>
          <w:i/>
          <w:iCs/>
          <w:sz w:val="20"/>
          <w:lang w:val="es-ES"/>
        </w:rPr>
        <w:t>“Términos y Condiciones de las Obligaciones Negociables – Calificaciones de Riesgo”</w:t>
      </w:r>
      <w:r w:rsidRPr="00536094">
        <w:rPr>
          <w:rFonts w:ascii="Times New Roman" w:hAnsi="Times New Roman"/>
          <w:bCs/>
          <w:sz w:val="20"/>
          <w:lang w:val="es-ES"/>
        </w:rPr>
        <w:t xml:space="preserve"> del Prospecto de Programa.</w:t>
      </w:r>
    </w:p>
    <w:p w14:paraId="7008FB15" w14:textId="7829903E" w:rsidR="00536094" w:rsidRPr="008D2546" w:rsidRDefault="00536094" w:rsidP="00536094">
      <w:pPr>
        <w:pStyle w:val="ListParagraph"/>
        <w:numPr>
          <w:ilvl w:val="0"/>
          <w:numId w:val="16"/>
        </w:numPr>
        <w:tabs>
          <w:tab w:val="clear" w:pos="720"/>
          <w:tab w:val="num" w:pos="360"/>
        </w:tabs>
        <w:spacing w:before="120"/>
        <w:ind w:left="-142" w:right="-660" w:firstLine="142"/>
        <w:jc w:val="both"/>
        <w:rPr>
          <w:bCs/>
          <w:spacing w:val="-3"/>
          <w:sz w:val="20"/>
          <w:szCs w:val="20"/>
          <w:lang w:val="es-AR"/>
        </w:rPr>
      </w:pPr>
      <w:r w:rsidRPr="008D2546">
        <w:rPr>
          <w:b/>
          <w:bCs/>
          <w:sz w:val="20"/>
          <w:szCs w:val="20"/>
          <w:u w:val="single"/>
          <w:lang w:val="es-AR"/>
        </w:rPr>
        <w:t xml:space="preserve">Términos y condiciones particulares de las Obligaciones Negociables Clase </w:t>
      </w:r>
      <w:r>
        <w:rPr>
          <w:b/>
          <w:bCs/>
          <w:sz w:val="20"/>
          <w:szCs w:val="20"/>
          <w:u w:val="single"/>
          <w:lang w:val="es-AR"/>
        </w:rPr>
        <w:t>45</w:t>
      </w:r>
      <w:r w:rsidRPr="008D2546">
        <w:rPr>
          <w:b/>
          <w:spacing w:val="-3"/>
          <w:sz w:val="20"/>
          <w:lang w:val="es-AR"/>
        </w:rPr>
        <w:t>:</w:t>
      </w:r>
      <w:r w:rsidRPr="008D2546">
        <w:rPr>
          <w:bCs/>
          <w:spacing w:val="-3"/>
          <w:sz w:val="20"/>
          <w:lang w:val="es-AR"/>
        </w:rPr>
        <w:t xml:space="preserve"> </w:t>
      </w:r>
    </w:p>
    <w:p w14:paraId="23954E8A" w14:textId="135CB158" w:rsidR="00536094" w:rsidRPr="006D51E5" w:rsidRDefault="00536094" w:rsidP="00080266">
      <w:pPr>
        <w:pStyle w:val="DPWWriterInfo"/>
        <w:numPr>
          <w:ilvl w:val="0"/>
          <w:numId w:val="18"/>
        </w:numPr>
        <w:tabs>
          <w:tab w:val="clear" w:pos="720"/>
          <w:tab w:val="num" w:pos="0"/>
        </w:tabs>
        <w:spacing w:before="120" w:after="0"/>
        <w:ind w:left="-567" w:right="-660" w:firstLine="0"/>
        <w:jc w:val="both"/>
        <w:rPr>
          <w:rFonts w:ascii="Times New Roman" w:hAnsi="Times New Roman"/>
          <w:sz w:val="20"/>
          <w:lang w:val="es-AR"/>
        </w:rPr>
      </w:pPr>
      <w:r w:rsidRPr="006D51E5">
        <w:rPr>
          <w:rFonts w:ascii="Times New Roman" w:hAnsi="Times New Roman"/>
          <w:b/>
          <w:bCs/>
          <w:sz w:val="20"/>
          <w:u w:val="single"/>
          <w:lang w:val="es-AR"/>
        </w:rPr>
        <w:t>Denominación</w:t>
      </w:r>
      <w:r w:rsidRPr="006D51E5">
        <w:rPr>
          <w:rFonts w:ascii="Times New Roman" w:hAnsi="Times New Roman"/>
          <w:b/>
          <w:bCs/>
          <w:sz w:val="20"/>
          <w:lang w:val="es-AR"/>
        </w:rPr>
        <w:t>:</w:t>
      </w:r>
      <w:r w:rsidRPr="006D51E5">
        <w:rPr>
          <w:rFonts w:ascii="Times New Roman" w:hAnsi="Times New Roman"/>
          <w:sz w:val="20"/>
          <w:lang w:val="es-AR"/>
        </w:rPr>
        <w:t xml:space="preserve"> Las Obligaciones Negociables </w:t>
      </w:r>
      <w:r>
        <w:rPr>
          <w:rFonts w:ascii="Times New Roman" w:hAnsi="Times New Roman"/>
          <w:sz w:val="20"/>
          <w:lang w:val="es-AR"/>
        </w:rPr>
        <w:t>Clase 45</w:t>
      </w:r>
      <w:r w:rsidRPr="006D51E5">
        <w:rPr>
          <w:rFonts w:ascii="Times New Roman" w:hAnsi="Times New Roman"/>
          <w:sz w:val="20"/>
          <w:lang w:val="es-AR"/>
        </w:rPr>
        <w:t xml:space="preserve"> estarán denominadas en Dólares Estadounidenses.</w:t>
      </w:r>
    </w:p>
    <w:p w14:paraId="31F2CBFD" w14:textId="6E9C1029" w:rsidR="00536094" w:rsidRDefault="00536094" w:rsidP="00080266">
      <w:pPr>
        <w:pStyle w:val="DPWWriterInfo"/>
        <w:numPr>
          <w:ilvl w:val="0"/>
          <w:numId w:val="18"/>
        </w:numPr>
        <w:tabs>
          <w:tab w:val="num" w:pos="0"/>
        </w:tabs>
        <w:spacing w:before="120" w:after="0"/>
        <w:ind w:left="-567" w:right="-660" w:firstLine="0"/>
        <w:jc w:val="both"/>
        <w:rPr>
          <w:rFonts w:ascii="Times New Roman" w:hAnsi="Times New Roman"/>
          <w:sz w:val="20"/>
          <w:lang w:val="es-AR"/>
        </w:rPr>
      </w:pPr>
      <w:r w:rsidRPr="00507577">
        <w:rPr>
          <w:rFonts w:ascii="Times New Roman" w:hAnsi="Times New Roman"/>
          <w:b/>
          <w:bCs/>
          <w:sz w:val="20"/>
          <w:u w:val="single"/>
          <w:lang w:val="es-AR"/>
        </w:rPr>
        <w:t>Monto Ofertado</w:t>
      </w:r>
      <w:r w:rsidRPr="00507577">
        <w:rPr>
          <w:rFonts w:ascii="Times New Roman" w:hAnsi="Times New Roman"/>
          <w:b/>
          <w:bCs/>
          <w:sz w:val="20"/>
          <w:lang w:val="es-AR"/>
        </w:rPr>
        <w:t>:</w:t>
      </w:r>
      <w:r w:rsidRPr="00507577">
        <w:rPr>
          <w:rFonts w:ascii="Times New Roman" w:hAnsi="Times New Roman"/>
          <w:sz w:val="20"/>
          <w:lang w:val="es-AR"/>
        </w:rPr>
        <w:t xml:space="preserve"> </w:t>
      </w:r>
      <w:r w:rsidRPr="00536094">
        <w:rPr>
          <w:rFonts w:ascii="Times New Roman" w:hAnsi="Times New Roman"/>
          <w:sz w:val="20"/>
          <w:lang w:val="es-AR"/>
        </w:rPr>
        <w:t xml:space="preserve">Las Obligaciones Negociables </w:t>
      </w:r>
      <w:r>
        <w:rPr>
          <w:rFonts w:ascii="Times New Roman" w:hAnsi="Times New Roman"/>
          <w:sz w:val="20"/>
          <w:lang w:val="es-AR"/>
        </w:rPr>
        <w:t xml:space="preserve">Clase 45 </w:t>
      </w:r>
      <w:r w:rsidRPr="00536094">
        <w:rPr>
          <w:rFonts w:ascii="Times New Roman" w:hAnsi="Times New Roman"/>
          <w:sz w:val="20"/>
          <w:lang w:val="es-AR"/>
        </w:rPr>
        <w:t>serán ofrecidas por un valor nominal de hasta US$</w:t>
      </w:r>
      <w:r>
        <w:rPr>
          <w:rFonts w:ascii="Times New Roman" w:hAnsi="Times New Roman"/>
          <w:sz w:val="20"/>
          <w:lang w:val="es-AR"/>
        </w:rPr>
        <w:t>1</w:t>
      </w:r>
      <w:r w:rsidRPr="00536094">
        <w:rPr>
          <w:rFonts w:ascii="Times New Roman" w:hAnsi="Times New Roman"/>
          <w:sz w:val="20"/>
          <w:lang w:val="es-AR"/>
        </w:rPr>
        <w:t>0.000.000 ampliable hasta US$</w:t>
      </w:r>
      <w:r>
        <w:rPr>
          <w:rFonts w:ascii="Times New Roman" w:hAnsi="Times New Roman"/>
          <w:sz w:val="20"/>
          <w:lang w:val="es-AR"/>
        </w:rPr>
        <w:t>3</w:t>
      </w:r>
      <w:r w:rsidRPr="00536094">
        <w:rPr>
          <w:rFonts w:ascii="Times New Roman" w:hAnsi="Times New Roman"/>
          <w:sz w:val="20"/>
          <w:lang w:val="es-AR"/>
        </w:rPr>
        <w:t>0.000.000</w:t>
      </w:r>
      <w:r w:rsidRPr="00507577">
        <w:rPr>
          <w:rFonts w:ascii="Times New Roman" w:hAnsi="Times New Roman"/>
          <w:spacing w:val="-3"/>
          <w:sz w:val="20"/>
          <w:lang w:val="es-AR"/>
        </w:rPr>
        <w:t>.</w:t>
      </w:r>
    </w:p>
    <w:p w14:paraId="4A888A2B" w14:textId="77700B60" w:rsidR="00536094" w:rsidRPr="00A71722" w:rsidRDefault="00536094" w:rsidP="00080266">
      <w:pPr>
        <w:pStyle w:val="DPWWriterInfo"/>
        <w:numPr>
          <w:ilvl w:val="0"/>
          <w:numId w:val="18"/>
        </w:numPr>
        <w:tabs>
          <w:tab w:val="num" w:pos="0"/>
        </w:tabs>
        <w:spacing w:before="120" w:after="0"/>
        <w:ind w:left="-567" w:right="-660" w:firstLine="0"/>
        <w:jc w:val="both"/>
        <w:rPr>
          <w:rFonts w:ascii="Times New Roman" w:hAnsi="Times New Roman"/>
          <w:sz w:val="20"/>
          <w:lang w:val="es-AR"/>
        </w:rPr>
      </w:pPr>
      <w:r w:rsidRPr="00507577">
        <w:rPr>
          <w:rFonts w:ascii="Times New Roman" w:hAnsi="Times New Roman"/>
          <w:b/>
          <w:bCs/>
          <w:sz w:val="20"/>
          <w:u w:val="single"/>
          <w:lang w:val="es-AR"/>
        </w:rPr>
        <w:t>Moneda de Suscripción, Integración y Pagos</w:t>
      </w:r>
      <w:r w:rsidRPr="00507577">
        <w:rPr>
          <w:rFonts w:ascii="Times New Roman" w:hAnsi="Times New Roman"/>
          <w:b/>
          <w:bCs/>
          <w:sz w:val="20"/>
          <w:lang w:val="es-AR"/>
        </w:rPr>
        <w:t>:</w:t>
      </w:r>
      <w:r w:rsidRPr="00507577">
        <w:rPr>
          <w:rFonts w:ascii="Times New Roman" w:hAnsi="Times New Roman"/>
          <w:sz w:val="20"/>
          <w:lang w:val="es-AR"/>
        </w:rPr>
        <w:t xml:space="preserve"> Las Obligaciones Negociables </w:t>
      </w:r>
      <w:r>
        <w:rPr>
          <w:rFonts w:ascii="Times New Roman" w:hAnsi="Times New Roman"/>
          <w:sz w:val="20"/>
          <w:lang w:val="es-AR"/>
        </w:rPr>
        <w:t>Clase 45</w:t>
      </w:r>
      <w:r w:rsidRPr="00507577">
        <w:rPr>
          <w:rFonts w:ascii="Times New Roman" w:hAnsi="Times New Roman"/>
          <w:sz w:val="20"/>
          <w:lang w:val="es-AR"/>
        </w:rPr>
        <w:t xml:space="preserve"> serán suscriptas e integradas en </w:t>
      </w:r>
      <w:r>
        <w:rPr>
          <w:rFonts w:ascii="Times New Roman" w:hAnsi="Times New Roman"/>
          <w:sz w:val="20"/>
          <w:lang w:val="es-AR"/>
        </w:rPr>
        <w:t>Dólares Estadounidenses</w:t>
      </w:r>
      <w:r w:rsidRPr="00507577">
        <w:rPr>
          <w:rFonts w:ascii="Times New Roman" w:hAnsi="Times New Roman"/>
          <w:sz w:val="20"/>
          <w:lang w:val="es-AR"/>
        </w:rPr>
        <w:t xml:space="preserve"> directamente por los inversores en la Fecha de Emisión y Liquidación, y serán acreditadas en las respectivas subcuentas comitentes abiertas por intermedio de los depositantes que correspondan en el ámbito del depósito colectivo administrado por CVSA. Asimismo, los pagos bajo las mismas se realizarán en </w:t>
      </w:r>
      <w:r>
        <w:rPr>
          <w:rFonts w:ascii="Times New Roman" w:hAnsi="Times New Roman"/>
          <w:sz w:val="20"/>
          <w:lang w:val="es-AR"/>
        </w:rPr>
        <w:t>Dólares Estadounidenses en la República Argentina</w:t>
      </w:r>
      <w:r w:rsidRPr="00507577">
        <w:rPr>
          <w:rFonts w:ascii="Times New Roman" w:hAnsi="Times New Roman"/>
          <w:sz w:val="20"/>
          <w:lang w:val="es-AR"/>
        </w:rPr>
        <w:t xml:space="preserve"> en la Fecha de Vencimiento</w:t>
      </w:r>
      <w:r>
        <w:rPr>
          <w:rFonts w:ascii="Times New Roman" w:hAnsi="Times New Roman"/>
          <w:sz w:val="20"/>
          <w:lang w:val="es-AR"/>
        </w:rPr>
        <w:t xml:space="preserve"> de las Obligaciones Negociables Clase 4</w:t>
      </w:r>
      <w:r w:rsidR="000723C5">
        <w:rPr>
          <w:rFonts w:ascii="Times New Roman" w:hAnsi="Times New Roman"/>
          <w:sz w:val="20"/>
          <w:lang w:val="es-AR"/>
        </w:rPr>
        <w:t>5</w:t>
      </w:r>
      <w:r w:rsidRPr="00507577">
        <w:rPr>
          <w:rFonts w:ascii="Times New Roman" w:hAnsi="Times New Roman"/>
          <w:sz w:val="20"/>
          <w:lang w:val="es-AR"/>
        </w:rPr>
        <w:t xml:space="preserve"> y en cada Fecha de Pago de Intereses</w:t>
      </w:r>
      <w:r>
        <w:rPr>
          <w:rFonts w:ascii="Times New Roman" w:hAnsi="Times New Roman"/>
          <w:sz w:val="20"/>
          <w:lang w:val="es-AR"/>
        </w:rPr>
        <w:t xml:space="preserve"> de las Obligaciones Negociables Clase 4</w:t>
      </w:r>
      <w:r w:rsidR="000723C5">
        <w:rPr>
          <w:rFonts w:ascii="Times New Roman" w:hAnsi="Times New Roman"/>
          <w:sz w:val="20"/>
          <w:lang w:val="es-AR"/>
        </w:rPr>
        <w:t>5</w:t>
      </w:r>
      <w:r w:rsidRPr="00507577">
        <w:rPr>
          <w:rFonts w:ascii="Times New Roman" w:hAnsi="Times New Roman"/>
          <w:sz w:val="20"/>
          <w:lang w:val="es-AR"/>
        </w:rPr>
        <w:t>, según se establece más abajo</w:t>
      </w:r>
      <w:r>
        <w:rPr>
          <w:rFonts w:ascii="Times New Roman" w:hAnsi="Times New Roman"/>
          <w:sz w:val="20"/>
          <w:lang w:val="es-AR"/>
        </w:rPr>
        <w:t>.</w:t>
      </w:r>
    </w:p>
    <w:p w14:paraId="7329649E" w14:textId="77777777" w:rsidR="00536094" w:rsidRPr="00507577" w:rsidRDefault="00536094" w:rsidP="00080266">
      <w:pPr>
        <w:pStyle w:val="DPWWriterInfo"/>
        <w:numPr>
          <w:ilvl w:val="0"/>
          <w:numId w:val="18"/>
        </w:numPr>
        <w:tabs>
          <w:tab w:val="num" w:pos="0"/>
        </w:tabs>
        <w:spacing w:before="120" w:after="0"/>
        <w:ind w:left="-567" w:right="-660" w:firstLine="0"/>
        <w:jc w:val="both"/>
        <w:rPr>
          <w:rFonts w:ascii="Times New Roman" w:hAnsi="Times New Roman"/>
          <w:sz w:val="20"/>
          <w:u w:val="single"/>
          <w:lang w:val="es-AR"/>
        </w:rPr>
      </w:pPr>
      <w:r w:rsidRPr="00507577">
        <w:rPr>
          <w:rFonts w:ascii="Times New Roman" w:hAnsi="Times New Roman"/>
          <w:b/>
          <w:sz w:val="20"/>
          <w:u w:val="single"/>
          <w:lang w:val="es-AR"/>
        </w:rPr>
        <w:t>Monto Mínimo de Suscripción:</w:t>
      </w:r>
      <w:r w:rsidRPr="00507577">
        <w:rPr>
          <w:rFonts w:ascii="Times New Roman" w:hAnsi="Times New Roman"/>
          <w:bCs/>
          <w:sz w:val="20"/>
          <w:lang w:val="es-AR"/>
        </w:rPr>
        <w:t xml:space="preserve"> </w:t>
      </w:r>
      <w:r w:rsidRPr="00DB5CB3">
        <w:rPr>
          <w:rFonts w:ascii="Times New Roman" w:hAnsi="Times New Roman"/>
          <w:bCs/>
          <w:sz w:val="20"/>
          <w:lang w:val="es-AR"/>
        </w:rPr>
        <w:t xml:space="preserve">V/N US$ </w:t>
      </w:r>
      <w:r>
        <w:rPr>
          <w:rFonts w:ascii="Times New Roman" w:hAnsi="Times New Roman"/>
          <w:bCs/>
          <w:sz w:val="20"/>
          <w:lang w:val="es-AR"/>
        </w:rPr>
        <w:t>1.200</w:t>
      </w:r>
      <w:r w:rsidRPr="00DB5CB3">
        <w:rPr>
          <w:rFonts w:ascii="Times New Roman" w:hAnsi="Times New Roman"/>
          <w:bCs/>
          <w:sz w:val="20"/>
          <w:lang w:val="es-AR"/>
        </w:rPr>
        <w:t xml:space="preserve"> (Dólares Estadounidenses </w:t>
      </w:r>
      <w:r w:rsidRPr="00536094">
        <w:rPr>
          <w:rFonts w:ascii="Times New Roman" w:hAnsi="Times New Roman"/>
          <w:bCs/>
          <w:sz w:val="20"/>
          <w:lang w:val="es-AR"/>
        </w:rPr>
        <w:t>mil doscientos</w:t>
      </w:r>
      <w:r w:rsidRPr="00DB5CB3">
        <w:rPr>
          <w:rFonts w:ascii="Times New Roman" w:hAnsi="Times New Roman"/>
          <w:bCs/>
          <w:sz w:val="20"/>
          <w:lang w:val="es-AR"/>
        </w:rPr>
        <w:t xml:space="preserve">) y múltiplos de V/N US$ </w:t>
      </w:r>
      <w:r>
        <w:rPr>
          <w:rFonts w:ascii="Times New Roman" w:hAnsi="Times New Roman"/>
          <w:bCs/>
          <w:sz w:val="20"/>
          <w:lang w:val="es-AR"/>
        </w:rPr>
        <w:t>1</w:t>
      </w:r>
      <w:r w:rsidRPr="00DB5CB3">
        <w:rPr>
          <w:rFonts w:ascii="Times New Roman" w:hAnsi="Times New Roman"/>
          <w:bCs/>
          <w:sz w:val="20"/>
          <w:lang w:val="es-AR"/>
        </w:rPr>
        <w:t xml:space="preserve"> (Dólares Estadounidenses </w:t>
      </w:r>
      <w:r>
        <w:rPr>
          <w:rFonts w:ascii="Times New Roman" w:hAnsi="Times New Roman"/>
          <w:bCs/>
          <w:sz w:val="20"/>
          <w:lang w:val="es-AR"/>
        </w:rPr>
        <w:t>uno</w:t>
      </w:r>
      <w:r w:rsidRPr="00DB5CB3">
        <w:rPr>
          <w:rFonts w:ascii="Times New Roman" w:hAnsi="Times New Roman"/>
          <w:bCs/>
          <w:sz w:val="20"/>
          <w:lang w:val="es-AR"/>
        </w:rPr>
        <w:t>) superiores a esa cifra</w:t>
      </w:r>
      <w:r w:rsidRPr="00507577">
        <w:rPr>
          <w:rFonts w:ascii="Times New Roman" w:hAnsi="Times New Roman"/>
          <w:bCs/>
          <w:sz w:val="20"/>
          <w:lang w:val="es-ES"/>
        </w:rPr>
        <w:t>.</w:t>
      </w:r>
    </w:p>
    <w:p w14:paraId="1605E8CD" w14:textId="77777777" w:rsidR="00536094" w:rsidRPr="000F7C4C" w:rsidRDefault="00536094" w:rsidP="00080266">
      <w:pPr>
        <w:pStyle w:val="DPWWriterInfo"/>
        <w:numPr>
          <w:ilvl w:val="0"/>
          <w:numId w:val="18"/>
        </w:numPr>
        <w:tabs>
          <w:tab w:val="num" w:pos="0"/>
        </w:tabs>
        <w:spacing w:before="120" w:after="0"/>
        <w:ind w:left="-567" w:right="-660" w:firstLine="0"/>
        <w:jc w:val="both"/>
        <w:rPr>
          <w:rFonts w:ascii="Times New Roman" w:hAnsi="Times New Roman"/>
          <w:sz w:val="20"/>
          <w:lang w:val="es-AR"/>
        </w:rPr>
      </w:pPr>
      <w:r w:rsidRPr="000F7C4C">
        <w:rPr>
          <w:rFonts w:ascii="Times New Roman" w:hAnsi="Times New Roman"/>
          <w:b/>
          <w:bCs/>
          <w:sz w:val="20"/>
          <w:u w:val="single"/>
          <w:lang w:val="es-AR"/>
        </w:rPr>
        <w:t>Valor Nominal Unitario:</w:t>
      </w:r>
      <w:r w:rsidRPr="00507577">
        <w:rPr>
          <w:rFonts w:ascii="Times New Roman" w:hAnsi="Times New Roman"/>
          <w:bCs/>
          <w:sz w:val="20"/>
          <w:lang w:val="es-AR"/>
        </w:rPr>
        <w:t xml:space="preserve"> </w:t>
      </w:r>
      <w:r w:rsidRPr="00DB5CB3">
        <w:rPr>
          <w:rFonts w:ascii="Times New Roman" w:hAnsi="Times New Roman"/>
          <w:sz w:val="20"/>
          <w:lang w:val="es-AR"/>
        </w:rPr>
        <w:t xml:space="preserve">US$ </w:t>
      </w:r>
      <w:r>
        <w:rPr>
          <w:rFonts w:ascii="Times New Roman" w:hAnsi="Times New Roman"/>
          <w:sz w:val="20"/>
          <w:lang w:val="es-AR"/>
        </w:rPr>
        <w:t>1</w:t>
      </w:r>
      <w:r w:rsidRPr="00DB5CB3">
        <w:rPr>
          <w:rFonts w:ascii="Times New Roman" w:hAnsi="Times New Roman"/>
          <w:sz w:val="20"/>
          <w:lang w:val="es-AR"/>
        </w:rPr>
        <w:t xml:space="preserve"> (Dólares Estadounidenses </w:t>
      </w:r>
      <w:r>
        <w:rPr>
          <w:rFonts w:ascii="Times New Roman" w:hAnsi="Times New Roman"/>
          <w:sz w:val="20"/>
          <w:lang w:val="es-AR"/>
        </w:rPr>
        <w:t>uno</w:t>
      </w:r>
      <w:r w:rsidRPr="00DB5CB3">
        <w:rPr>
          <w:rFonts w:ascii="Times New Roman" w:hAnsi="Times New Roman"/>
          <w:sz w:val="20"/>
          <w:lang w:val="es-AR"/>
        </w:rPr>
        <w:t>)</w:t>
      </w:r>
      <w:r>
        <w:rPr>
          <w:rFonts w:ascii="Times New Roman" w:hAnsi="Times New Roman"/>
          <w:sz w:val="20"/>
          <w:lang w:val="es-AR"/>
        </w:rPr>
        <w:t>.</w:t>
      </w:r>
    </w:p>
    <w:p w14:paraId="7BC0CD6C" w14:textId="307BCD42" w:rsidR="00536094" w:rsidRPr="00507577" w:rsidRDefault="00536094" w:rsidP="00080266">
      <w:pPr>
        <w:pStyle w:val="DPWWriterInfo"/>
        <w:numPr>
          <w:ilvl w:val="0"/>
          <w:numId w:val="18"/>
        </w:numPr>
        <w:tabs>
          <w:tab w:val="num" w:pos="0"/>
        </w:tabs>
        <w:spacing w:before="120" w:after="0"/>
        <w:ind w:left="-567" w:right="-660" w:firstLine="0"/>
        <w:jc w:val="both"/>
        <w:rPr>
          <w:rFonts w:ascii="Times New Roman" w:hAnsi="Times New Roman"/>
          <w:sz w:val="20"/>
          <w:lang w:val="es-AR"/>
        </w:rPr>
      </w:pPr>
      <w:r w:rsidRPr="00507577">
        <w:rPr>
          <w:rFonts w:ascii="Times New Roman" w:hAnsi="Times New Roman"/>
          <w:b/>
          <w:sz w:val="20"/>
          <w:u w:val="single"/>
          <w:lang w:val="es-AR"/>
        </w:rPr>
        <w:t>Unidad Mínima de Negociación:</w:t>
      </w:r>
      <w:r w:rsidRPr="00507577">
        <w:rPr>
          <w:rFonts w:ascii="Times New Roman" w:hAnsi="Times New Roman"/>
          <w:bCs/>
          <w:sz w:val="20"/>
          <w:lang w:val="es-AR"/>
        </w:rPr>
        <w:t xml:space="preserve"> </w:t>
      </w:r>
      <w:r w:rsidRPr="00536094">
        <w:rPr>
          <w:rFonts w:ascii="Times New Roman" w:hAnsi="Times New Roman"/>
          <w:bCs/>
          <w:sz w:val="20"/>
          <w:lang w:val="es-AR"/>
        </w:rPr>
        <w:t>V/N US$ 1.200 (Dólares Estadounidenses mil doscientos) y múltiplos de V/N US$ 1 (Dólares Estadounidenses uno) superiores a esa cifra. Las Obligaciones Negociables Clase 4</w:t>
      </w:r>
      <w:r w:rsidR="000723C5">
        <w:rPr>
          <w:rFonts w:ascii="Times New Roman" w:hAnsi="Times New Roman"/>
          <w:bCs/>
          <w:sz w:val="20"/>
          <w:lang w:val="es-AR"/>
        </w:rPr>
        <w:t>5</w:t>
      </w:r>
      <w:r w:rsidRPr="00536094">
        <w:rPr>
          <w:rFonts w:ascii="Times New Roman" w:hAnsi="Times New Roman"/>
          <w:bCs/>
          <w:sz w:val="20"/>
          <w:lang w:val="es-AR"/>
        </w:rPr>
        <w:t xml:space="preserve"> no podrán ser negociadas por montos inferiores a V/N US$ 1.200 (Dólares Estadounidenses mil doscientos).</w:t>
      </w:r>
    </w:p>
    <w:p w14:paraId="2E9596FB" w14:textId="3B022AC6" w:rsidR="00536094" w:rsidRDefault="00536094" w:rsidP="00080266">
      <w:pPr>
        <w:pStyle w:val="DPWWriterInfo"/>
        <w:numPr>
          <w:ilvl w:val="0"/>
          <w:numId w:val="18"/>
        </w:numPr>
        <w:tabs>
          <w:tab w:val="num" w:pos="0"/>
        </w:tabs>
        <w:spacing w:before="120" w:after="0"/>
        <w:ind w:left="-567" w:right="-660" w:firstLine="0"/>
        <w:jc w:val="both"/>
        <w:rPr>
          <w:rFonts w:ascii="Times New Roman" w:hAnsi="Times New Roman"/>
          <w:sz w:val="20"/>
          <w:lang w:val="es-AR"/>
        </w:rPr>
      </w:pPr>
      <w:r>
        <w:rPr>
          <w:rFonts w:ascii="Times New Roman" w:hAnsi="Times New Roman"/>
          <w:b/>
          <w:bCs/>
          <w:sz w:val="20"/>
          <w:u w:val="single"/>
          <w:lang w:val="es-AR"/>
        </w:rPr>
        <w:t>Fecha de Vencimiento de las Obligaciones Negociables Clase 4</w:t>
      </w:r>
      <w:r w:rsidR="000723C5">
        <w:rPr>
          <w:rFonts w:ascii="Times New Roman" w:hAnsi="Times New Roman"/>
          <w:b/>
          <w:bCs/>
          <w:sz w:val="20"/>
          <w:u w:val="single"/>
          <w:lang w:val="es-AR"/>
        </w:rPr>
        <w:t>5</w:t>
      </w:r>
      <w:r w:rsidRPr="00D70E18">
        <w:rPr>
          <w:rFonts w:ascii="Times New Roman" w:hAnsi="Times New Roman"/>
          <w:b/>
          <w:bCs/>
          <w:sz w:val="20"/>
          <w:lang w:val="es-AR"/>
        </w:rPr>
        <w:t>:</w:t>
      </w:r>
      <w:r>
        <w:rPr>
          <w:rFonts w:ascii="Times New Roman" w:hAnsi="Times New Roman"/>
          <w:sz w:val="20"/>
          <w:lang w:val="es-AR"/>
        </w:rPr>
        <w:t xml:space="preserve"> </w:t>
      </w:r>
      <w:r w:rsidRPr="00DB5CB3">
        <w:rPr>
          <w:rFonts w:ascii="Times New Roman" w:hAnsi="Times New Roman"/>
          <w:sz w:val="20"/>
          <w:lang w:val="es-AR"/>
        </w:rPr>
        <w:t xml:space="preserve">Las Obligaciones Negociables </w:t>
      </w:r>
      <w:r>
        <w:rPr>
          <w:rFonts w:ascii="Times New Roman" w:hAnsi="Times New Roman"/>
          <w:sz w:val="20"/>
          <w:lang w:val="es-AR"/>
        </w:rPr>
        <w:t>Clase 4</w:t>
      </w:r>
      <w:r w:rsidR="000723C5">
        <w:rPr>
          <w:rFonts w:ascii="Times New Roman" w:hAnsi="Times New Roman"/>
          <w:sz w:val="20"/>
          <w:lang w:val="es-AR"/>
        </w:rPr>
        <w:t>5</w:t>
      </w:r>
      <w:r w:rsidRPr="00DB5CB3">
        <w:rPr>
          <w:rFonts w:ascii="Times New Roman" w:hAnsi="Times New Roman"/>
          <w:sz w:val="20"/>
          <w:lang w:val="es-AR"/>
        </w:rPr>
        <w:t xml:space="preserve"> vencerán en la fecha en que se cumplan </w:t>
      </w:r>
      <w:r w:rsidR="000723C5">
        <w:rPr>
          <w:rFonts w:ascii="Times New Roman" w:hAnsi="Times New Roman"/>
          <w:sz w:val="20"/>
          <w:lang w:val="es-AR"/>
        </w:rPr>
        <w:t>12</w:t>
      </w:r>
      <w:r>
        <w:rPr>
          <w:rFonts w:ascii="Times New Roman" w:hAnsi="Times New Roman"/>
          <w:sz w:val="20"/>
          <w:lang w:val="es-AR"/>
        </w:rPr>
        <w:t xml:space="preserve"> meses</w:t>
      </w:r>
      <w:r w:rsidRPr="00DB5CB3">
        <w:rPr>
          <w:rFonts w:ascii="Times New Roman" w:hAnsi="Times New Roman"/>
          <w:sz w:val="20"/>
          <w:lang w:val="es-AR"/>
        </w:rPr>
        <w:t xml:space="preserve"> contados desde la Fecha de Emisión y Liquidación. La Fecha de Vencimiento será informada en el Aviso de Resultados.</w:t>
      </w:r>
    </w:p>
    <w:p w14:paraId="3BCDE0A5" w14:textId="6C5D7701" w:rsidR="00536094" w:rsidRDefault="00536094" w:rsidP="00080266">
      <w:pPr>
        <w:pStyle w:val="DPWWriterInfo"/>
        <w:numPr>
          <w:ilvl w:val="0"/>
          <w:numId w:val="18"/>
        </w:numPr>
        <w:tabs>
          <w:tab w:val="num" w:pos="0"/>
        </w:tabs>
        <w:spacing w:before="120" w:after="0"/>
        <w:ind w:left="-567" w:right="-660" w:firstLine="0"/>
        <w:jc w:val="both"/>
        <w:rPr>
          <w:rFonts w:ascii="Times New Roman" w:hAnsi="Times New Roman"/>
          <w:sz w:val="20"/>
          <w:lang w:val="es-AR"/>
        </w:rPr>
      </w:pPr>
      <w:r>
        <w:rPr>
          <w:rFonts w:ascii="Times New Roman" w:hAnsi="Times New Roman"/>
          <w:b/>
          <w:bCs/>
          <w:sz w:val="20"/>
          <w:u w:val="single"/>
          <w:lang w:val="es-AR"/>
        </w:rPr>
        <w:t>Amortización</w:t>
      </w:r>
      <w:r>
        <w:rPr>
          <w:rFonts w:ascii="Times New Roman" w:hAnsi="Times New Roman"/>
          <w:b/>
          <w:bCs/>
          <w:sz w:val="20"/>
          <w:lang w:val="es-AR"/>
        </w:rPr>
        <w:t>:</w:t>
      </w:r>
      <w:r>
        <w:rPr>
          <w:rFonts w:ascii="Times New Roman" w:hAnsi="Times New Roman"/>
          <w:sz w:val="20"/>
          <w:lang w:val="es-AR"/>
        </w:rPr>
        <w:t xml:space="preserve"> </w:t>
      </w:r>
      <w:r w:rsidRPr="00DB5CB3">
        <w:rPr>
          <w:rFonts w:ascii="Times New Roman" w:hAnsi="Times New Roman"/>
          <w:sz w:val="20"/>
          <w:lang w:val="es-AR"/>
        </w:rPr>
        <w:t xml:space="preserve">El capital de las Obligaciones Negociables </w:t>
      </w:r>
      <w:r>
        <w:rPr>
          <w:rFonts w:ascii="Times New Roman" w:hAnsi="Times New Roman"/>
          <w:sz w:val="20"/>
          <w:lang w:val="es-AR"/>
        </w:rPr>
        <w:t>Clase 4</w:t>
      </w:r>
      <w:r w:rsidR="000723C5">
        <w:rPr>
          <w:rFonts w:ascii="Times New Roman" w:hAnsi="Times New Roman"/>
          <w:sz w:val="20"/>
          <w:lang w:val="es-AR"/>
        </w:rPr>
        <w:t>5</w:t>
      </w:r>
      <w:r w:rsidRPr="00DB5CB3">
        <w:rPr>
          <w:rFonts w:ascii="Times New Roman" w:hAnsi="Times New Roman"/>
          <w:sz w:val="20"/>
          <w:lang w:val="es-AR"/>
        </w:rPr>
        <w:t xml:space="preserve"> será pagado </w:t>
      </w:r>
      <w:r w:rsidRPr="00507577">
        <w:rPr>
          <w:rFonts w:ascii="Times New Roman" w:hAnsi="Times New Roman"/>
          <w:sz w:val="20"/>
          <w:lang w:val="es-AR"/>
        </w:rPr>
        <w:t>íntegramente y en un solo pago</w:t>
      </w:r>
      <w:r>
        <w:rPr>
          <w:rFonts w:ascii="Times New Roman" w:hAnsi="Times New Roman"/>
          <w:sz w:val="20"/>
          <w:lang w:val="es-AR"/>
        </w:rPr>
        <w:t xml:space="preserve"> </w:t>
      </w:r>
      <w:r w:rsidRPr="00DB5CB3">
        <w:rPr>
          <w:rFonts w:ascii="Times New Roman" w:hAnsi="Times New Roman"/>
          <w:sz w:val="20"/>
          <w:lang w:val="es-AR"/>
        </w:rPr>
        <w:t xml:space="preserve">en la Fecha de Vencimiento de las Obligaciones Negociables </w:t>
      </w:r>
      <w:r>
        <w:rPr>
          <w:rFonts w:ascii="Times New Roman" w:hAnsi="Times New Roman"/>
          <w:sz w:val="20"/>
          <w:lang w:val="es-AR"/>
        </w:rPr>
        <w:t>Clase 4</w:t>
      </w:r>
      <w:r w:rsidR="000723C5">
        <w:rPr>
          <w:rFonts w:ascii="Times New Roman" w:hAnsi="Times New Roman"/>
          <w:sz w:val="20"/>
          <w:lang w:val="es-AR"/>
        </w:rPr>
        <w:t>5</w:t>
      </w:r>
      <w:r>
        <w:rPr>
          <w:rFonts w:ascii="Times New Roman" w:hAnsi="Times New Roman"/>
          <w:sz w:val="20"/>
          <w:lang w:val="es-AR"/>
        </w:rPr>
        <w:t>.</w:t>
      </w:r>
    </w:p>
    <w:p w14:paraId="642FDC07" w14:textId="077C18D8" w:rsidR="00536094" w:rsidRDefault="00536094" w:rsidP="00080266">
      <w:pPr>
        <w:pStyle w:val="DPWWriterInfo"/>
        <w:numPr>
          <w:ilvl w:val="0"/>
          <w:numId w:val="18"/>
        </w:numPr>
        <w:tabs>
          <w:tab w:val="num" w:pos="0"/>
        </w:tabs>
        <w:spacing w:before="120" w:after="0"/>
        <w:ind w:left="-567" w:right="-660" w:firstLine="0"/>
        <w:jc w:val="both"/>
        <w:rPr>
          <w:rFonts w:ascii="Times New Roman" w:hAnsi="Times New Roman"/>
          <w:sz w:val="20"/>
          <w:lang w:val="es-AR"/>
        </w:rPr>
      </w:pPr>
      <w:r w:rsidRPr="00DB5CB3">
        <w:rPr>
          <w:rFonts w:ascii="Times New Roman" w:hAnsi="Times New Roman"/>
          <w:b/>
          <w:bCs/>
          <w:sz w:val="20"/>
          <w:u w:val="single"/>
          <w:lang w:val="es-AR"/>
        </w:rPr>
        <w:t>Tasa de Interés</w:t>
      </w:r>
      <w:r w:rsidRPr="00DB5CB3">
        <w:rPr>
          <w:rFonts w:ascii="Times New Roman" w:hAnsi="Times New Roman"/>
          <w:b/>
          <w:bCs/>
          <w:sz w:val="20"/>
          <w:lang w:val="es-AR"/>
        </w:rPr>
        <w:t>:</w:t>
      </w:r>
      <w:r w:rsidRPr="00DB5CB3">
        <w:rPr>
          <w:rFonts w:ascii="Times New Roman" w:hAnsi="Times New Roman"/>
          <w:sz w:val="20"/>
          <w:lang w:val="es-AR"/>
        </w:rPr>
        <w:t xml:space="preserve"> El capital no amortizado de las Obligaciones Negociables </w:t>
      </w:r>
      <w:r>
        <w:rPr>
          <w:rFonts w:ascii="Times New Roman" w:hAnsi="Times New Roman"/>
          <w:sz w:val="20"/>
          <w:lang w:val="es-AR"/>
        </w:rPr>
        <w:t>Clase 4</w:t>
      </w:r>
      <w:r w:rsidR="000723C5">
        <w:rPr>
          <w:rFonts w:ascii="Times New Roman" w:hAnsi="Times New Roman"/>
          <w:sz w:val="20"/>
          <w:lang w:val="es-AR"/>
        </w:rPr>
        <w:t>5</w:t>
      </w:r>
      <w:r w:rsidRPr="00DB5CB3">
        <w:rPr>
          <w:rFonts w:ascii="Times New Roman" w:hAnsi="Times New Roman"/>
          <w:sz w:val="20"/>
          <w:lang w:val="es-AR"/>
        </w:rPr>
        <w:t xml:space="preserve"> devengará intereses desde la Fecha de Emisión y Liquidación y hasta la fecha en que dicho capital sea totalmente amortizado a una tasa fija equivalente a la Tasa Fija Aplicable</w:t>
      </w:r>
      <w:r>
        <w:rPr>
          <w:rFonts w:ascii="Times New Roman" w:hAnsi="Times New Roman"/>
          <w:sz w:val="20"/>
          <w:lang w:val="es-AR"/>
        </w:rPr>
        <w:t xml:space="preserve"> Clase 4</w:t>
      </w:r>
      <w:r w:rsidR="000723C5">
        <w:rPr>
          <w:rFonts w:ascii="Times New Roman" w:hAnsi="Times New Roman"/>
          <w:sz w:val="20"/>
          <w:lang w:val="es-AR"/>
        </w:rPr>
        <w:t>5</w:t>
      </w:r>
      <w:r w:rsidRPr="00DB5CB3">
        <w:rPr>
          <w:rFonts w:ascii="Times New Roman" w:hAnsi="Times New Roman"/>
          <w:sz w:val="20"/>
          <w:lang w:val="es-AR"/>
        </w:rPr>
        <w:t xml:space="preserve"> (según se define a continuación). La Tasa Fija Aplicable</w:t>
      </w:r>
      <w:r>
        <w:rPr>
          <w:rFonts w:ascii="Times New Roman" w:hAnsi="Times New Roman"/>
          <w:sz w:val="20"/>
          <w:lang w:val="es-AR"/>
        </w:rPr>
        <w:t xml:space="preserve"> Clase 4</w:t>
      </w:r>
      <w:r w:rsidR="000723C5">
        <w:rPr>
          <w:rFonts w:ascii="Times New Roman" w:hAnsi="Times New Roman"/>
          <w:sz w:val="20"/>
          <w:lang w:val="es-AR"/>
        </w:rPr>
        <w:t>5</w:t>
      </w:r>
      <w:r w:rsidRPr="00DB5CB3">
        <w:rPr>
          <w:rFonts w:ascii="Times New Roman" w:hAnsi="Times New Roman"/>
          <w:sz w:val="20"/>
          <w:lang w:val="es-AR"/>
        </w:rPr>
        <w:t xml:space="preserve"> podrá ser mayor o igual al 0,00%, pero nunca menor. En caso de que la Tasa Fija Aplicable</w:t>
      </w:r>
      <w:r>
        <w:rPr>
          <w:rFonts w:ascii="Times New Roman" w:hAnsi="Times New Roman"/>
          <w:sz w:val="20"/>
          <w:lang w:val="es-AR"/>
        </w:rPr>
        <w:t xml:space="preserve"> Clase 4</w:t>
      </w:r>
      <w:r w:rsidR="000723C5">
        <w:rPr>
          <w:rFonts w:ascii="Times New Roman" w:hAnsi="Times New Roman"/>
          <w:sz w:val="20"/>
          <w:lang w:val="es-AR"/>
        </w:rPr>
        <w:t>5</w:t>
      </w:r>
      <w:r w:rsidRPr="00DB5CB3">
        <w:rPr>
          <w:rFonts w:ascii="Times New Roman" w:hAnsi="Times New Roman"/>
          <w:sz w:val="20"/>
          <w:lang w:val="es-AR"/>
        </w:rPr>
        <w:t xml:space="preserve"> fuera igual a 0,00%, las Obligaciones Negociables </w:t>
      </w:r>
      <w:r>
        <w:rPr>
          <w:rFonts w:ascii="Times New Roman" w:hAnsi="Times New Roman"/>
          <w:sz w:val="20"/>
          <w:lang w:val="es-AR"/>
        </w:rPr>
        <w:t>Clase 4</w:t>
      </w:r>
      <w:r w:rsidR="000723C5">
        <w:rPr>
          <w:rFonts w:ascii="Times New Roman" w:hAnsi="Times New Roman"/>
          <w:sz w:val="20"/>
          <w:lang w:val="es-AR"/>
        </w:rPr>
        <w:t>5</w:t>
      </w:r>
      <w:r w:rsidRPr="00DB5CB3">
        <w:rPr>
          <w:rFonts w:ascii="Times New Roman" w:hAnsi="Times New Roman"/>
          <w:sz w:val="20"/>
          <w:lang w:val="es-AR"/>
        </w:rPr>
        <w:t xml:space="preserve"> no devengarán intereses.</w:t>
      </w:r>
    </w:p>
    <w:p w14:paraId="1B18DA54" w14:textId="76E40D44" w:rsidR="00536094" w:rsidRPr="00DB5CB3" w:rsidRDefault="00536094" w:rsidP="00536094">
      <w:pPr>
        <w:pStyle w:val="DPWWriterInfo"/>
        <w:tabs>
          <w:tab w:val="num" w:pos="0"/>
        </w:tabs>
        <w:spacing w:before="120" w:after="0"/>
        <w:ind w:left="-567" w:right="-660"/>
        <w:jc w:val="both"/>
        <w:rPr>
          <w:rFonts w:ascii="Times New Roman" w:hAnsi="Times New Roman"/>
          <w:sz w:val="20"/>
          <w:lang w:val="es-AR"/>
        </w:rPr>
      </w:pPr>
      <w:r w:rsidRPr="00DB5CB3">
        <w:rPr>
          <w:rFonts w:ascii="Times New Roman" w:hAnsi="Times New Roman"/>
          <w:sz w:val="20"/>
          <w:lang w:val="es-AR"/>
        </w:rPr>
        <w:t>Por “Tasa Fija Aplicable</w:t>
      </w:r>
      <w:r>
        <w:rPr>
          <w:rFonts w:ascii="Times New Roman" w:hAnsi="Times New Roman"/>
          <w:sz w:val="20"/>
          <w:lang w:val="es-AR"/>
        </w:rPr>
        <w:t xml:space="preserve"> Clase 4</w:t>
      </w:r>
      <w:r w:rsidR="000723C5">
        <w:rPr>
          <w:rFonts w:ascii="Times New Roman" w:hAnsi="Times New Roman"/>
          <w:sz w:val="20"/>
          <w:lang w:val="es-AR"/>
        </w:rPr>
        <w:t>5</w:t>
      </w:r>
      <w:r w:rsidRPr="00DB5CB3">
        <w:rPr>
          <w:rFonts w:ascii="Times New Roman" w:hAnsi="Times New Roman"/>
          <w:sz w:val="20"/>
          <w:lang w:val="es-AR"/>
        </w:rPr>
        <w:t xml:space="preserve">” se entiende a la tasa fija nominal anual aplicable a las Obligaciones Negociables </w:t>
      </w:r>
      <w:r>
        <w:rPr>
          <w:rFonts w:ascii="Times New Roman" w:hAnsi="Times New Roman"/>
          <w:sz w:val="20"/>
          <w:lang w:val="es-AR"/>
        </w:rPr>
        <w:t>Clase 4</w:t>
      </w:r>
      <w:r w:rsidR="000723C5">
        <w:rPr>
          <w:rFonts w:ascii="Times New Roman" w:hAnsi="Times New Roman"/>
          <w:sz w:val="20"/>
          <w:lang w:val="es-AR"/>
        </w:rPr>
        <w:t>5</w:t>
      </w:r>
      <w:r w:rsidRPr="00DB5CB3">
        <w:rPr>
          <w:rFonts w:ascii="Times New Roman" w:hAnsi="Times New Roman"/>
          <w:sz w:val="20"/>
          <w:lang w:val="es-AR"/>
        </w:rPr>
        <w:t xml:space="preserve"> que surgirá del proceso licitatorio descripto en la sección “</w:t>
      </w:r>
      <w:r w:rsidRPr="00D70E18">
        <w:rPr>
          <w:rFonts w:ascii="Times New Roman" w:hAnsi="Times New Roman"/>
          <w:i/>
          <w:iCs/>
          <w:sz w:val="20"/>
          <w:lang w:val="es-AR"/>
        </w:rPr>
        <w:t>Plan de Distribución</w:t>
      </w:r>
      <w:r w:rsidRPr="00DB5CB3">
        <w:rPr>
          <w:rFonts w:ascii="Times New Roman" w:hAnsi="Times New Roman"/>
          <w:sz w:val="20"/>
          <w:lang w:val="es-AR"/>
        </w:rPr>
        <w:t xml:space="preserve">” del Suplemento de Prospecto y que será determinada luego de la finalización del </w:t>
      </w:r>
      <w:r>
        <w:rPr>
          <w:rFonts w:ascii="Times New Roman" w:hAnsi="Times New Roman"/>
          <w:sz w:val="20"/>
          <w:lang w:val="es-AR"/>
        </w:rPr>
        <w:t>Período de Subasta Pública</w:t>
      </w:r>
      <w:r w:rsidRPr="00DB5CB3">
        <w:rPr>
          <w:rFonts w:ascii="Times New Roman" w:hAnsi="Times New Roman"/>
          <w:sz w:val="20"/>
          <w:lang w:val="es-AR"/>
        </w:rPr>
        <w:t xml:space="preserve"> y antes de la Fecha de Emisión y Liquidación e informada mediante el Aviso de Resultados</w:t>
      </w:r>
      <w:r>
        <w:rPr>
          <w:rFonts w:ascii="Times New Roman" w:hAnsi="Times New Roman"/>
          <w:sz w:val="20"/>
          <w:lang w:val="es-AR"/>
        </w:rPr>
        <w:t>.</w:t>
      </w:r>
    </w:p>
    <w:p w14:paraId="237C7D91" w14:textId="14370245" w:rsidR="00536094" w:rsidRPr="00D70E18" w:rsidRDefault="00536094" w:rsidP="00080266">
      <w:pPr>
        <w:pStyle w:val="DPWWriterInfo"/>
        <w:numPr>
          <w:ilvl w:val="0"/>
          <w:numId w:val="18"/>
        </w:numPr>
        <w:tabs>
          <w:tab w:val="num" w:pos="0"/>
        </w:tabs>
        <w:spacing w:before="120" w:after="0"/>
        <w:ind w:left="-567" w:right="-660" w:firstLine="0"/>
        <w:jc w:val="both"/>
        <w:rPr>
          <w:rFonts w:ascii="Times New Roman" w:hAnsi="Times New Roman"/>
          <w:sz w:val="20"/>
          <w:lang w:val="es-AR"/>
        </w:rPr>
      </w:pPr>
      <w:r>
        <w:rPr>
          <w:rFonts w:ascii="Times New Roman" w:hAnsi="Times New Roman"/>
          <w:b/>
          <w:sz w:val="20"/>
          <w:u w:val="single"/>
          <w:lang w:val="es-ES"/>
        </w:rPr>
        <w:lastRenderedPageBreak/>
        <w:t>D</w:t>
      </w:r>
      <w:r w:rsidRPr="00507577">
        <w:rPr>
          <w:rFonts w:ascii="Times New Roman" w:hAnsi="Times New Roman"/>
          <w:b/>
          <w:sz w:val="20"/>
          <w:u w:val="single"/>
          <w:lang w:val="es-ES"/>
        </w:rPr>
        <w:t xml:space="preserve">eterminación de la Tasa Fija </w:t>
      </w:r>
      <w:r>
        <w:rPr>
          <w:rFonts w:ascii="Times New Roman" w:hAnsi="Times New Roman"/>
          <w:b/>
          <w:sz w:val="20"/>
          <w:u w:val="single"/>
          <w:lang w:val="es-ES"/>
        </w:rPr>
        <w:t>Aplicable Clase 4</w:t>
      </w:r>
      <w:r w:rsidR="000723C5">
        <w:rPr>
          <w:rFonts w:ascii="Times New Roman" w:hAnsi="Times New Roman"/>
          <w:b/>
          <w:sz w:val="20"/>
          <w:u w:val="single"/>
          <w:lang w:val="es-ES"/>
        </w:rPr>
        <w:t>5</w:t>
      </w:r>
      <w:r w:rsidRPr="00507577">
        <w:rPr>
          <w:rFonts w:ascii="Times New Roman" w:hAnsi="Times New Roman"/>
          <w:b/>
          <w:sz w:val="20"/>
          <w:u w:val="single"/>
          <w:lang w:val="es-ES"/>
        </w:rPr>
        <w:t>:</w:t>
      </w:r>
      <w:r w:rsidRPr="00507577">
        <w:rPr>
          <w:rFonts w:ascii="Times New Roman" w:hAnsi="Times New Roman"/>
          <w:bCs/>
          <w:sz w:val="20"/>
          <w:lang w:val="es-ES"/>
        </w:rPr>
        <w:t xml:space="preserve"> Tan pronto como sea posible luego de finalizado el </w:t>
      </w:r>
      <w:r>
        <w:rPr>
          <w:rFonts w:ascii="Times New Roman" w:hAnsi="Times New Roman"/>
          <w:bCs/>
          <w:sz w:val="20"/>
          <w:lang w:val="es-ES"/>
        </w:rPr>
        <w:t>Período de Subasta Pública</w:t>
      </w:r>
      <w:r w:rsidRPr="00507577">
        <w:rPr>
          <w:rFonts w:ascii="Times New Roman" w:hAnsi="Times New Roman"/>
          <w:bCs/>
          <w:sz w:val="20"/>
          <w:lang w:val="es-ES"/>
        </w:rPr>
        <w:t xml:space="preserve">, las ofertas correspondientes serán ordenadas en forma ascendente, de menor a mayor, en el sistema “SIOPEL” </w:t>
      </w:r>
      <w:r>
        <w:rPr>
          <w:rFonts w:ascii="Times New Roman" w:hAnsi="Times New Roman"/>
          <w:bCs/>
          <w:sz w:val="20"/>
          <w:lang w:val="es-ES"/>
        </w:rPr>
        <w:t>de A3</w:t>
      </w:r>
      <w:r w:rsidRPr="00507577">
        <w:rPr>
          <w:rFonts w:ascii="Times New Roman" w:hAnsi="Times New Roman"/>
          <w:bCs/>
          <w:sz w:val="20"/>
          <w:lang w:val="es-ES"/>
        </w:rPr>
        <w:t>, el Emisor</w:t>
      </w:r>
      <w:r>
        <w:rPr>
          <w:rFonts w:ascii="Times New Roman" w:hAnsi="Times New Roman"/>
          <w:bCs/>
          <w:sz w:val="20"/>
          <w:lang w:val="es-ES"/>
        </w:rPr>
        <w:t xml:space="preserve"> </w:t>
      </w:r>
      <w:r w:rsidRPr="00507577">
        <w:rPr>
          <w:rFonts w:ascii="Times New Roman" w:hAnsi="Times New Roman"/>
          <w:bCs/>
          <w:sz w:val="20"/>
          <w:lang w:val="es-ES"/>
        </w:rPr>
        <w:t xml:space="preserve">determinará, de acuerdo con la curva de demanda de las Obligaciones Negociables </w:t>
      </w:r>
      <w:r>
        <w:rPr>
          <w:rFonts w:ascii="Times New Roman" w:hAnsi="Times New Roman"/>
          <w:bCs/>
          <w:sz w:val="20"/>
          <w:lang w:val="es-ES"/>
        </w:rPr>
        <w:t>Clase 4</w:t>
      </w:r>
      <w:r w:rsidR="000723C5">
        <w:rPr>
          <w:rFonts w:ascii="Times New Roman" w:hAnsi="Times New Roman"/>
          <w:bCs/>
          <w:sz w:val="20"/>
          <w:lang w:val="es-ES"/>
        </w:rPr>
        <w:t>5</w:t>
      </w:r>
      <w:r w:rsidRPr="00507577">
        <w:rPr>
          <w:rFonts w:ascii="Times New Roman" w:hAnsi="Times New Roman"/>
          <w:bCs/>
          <w:sz w:val="20"/>
          <w:lang w:val="es-ES"/>
        </w:rPr>
        <w:t xml:space="preserve">, (i) el valor nominal de las Obligaciones Negociables </w:t>
      </w:r>
      <w:r>
        <w:rPr>
          <w:rFonts w:ascii="Times New Roman" w:hAnsi="Times New Roman"/>
          <w:bCs/>
          <w:sz w:val="20"/>
          <w:lang w:val="es-ES"/>
        </w:rPr>
        <w:t>Clase 4</w:t>
      </w:r>
      <w:r w:rsidR="000723C5">
        <w:rPr>
          <w:rFonts w:ascii="Times New Roman" w:hAnsi="Times New Roman"/>
          <w:bCs/>
          <w:sz w:val="20"/>
          <w:lang w:val="es-ES"/>
        </w:rPr>
        <w:t>5</w:t>
      </w:r>
      <w:r w:rsidRPr="00507577">
        <w:rPr>
          <w:rFonts w:ascii="Times New Roman" w:hAnsi="Times New Roman"/>
          <w:bCs/>
          <w:sz w:val="20"/>
          <w:lang w:val="es-ES"/>
        </w:rPr>
        <w:t xml:space="preserve"> a emitir, y (</w:t>
      </w:r>
      <w:proofErr w:type="spellStart"/>
      <w:r w:rsidRPr="00507577">
        <w:rPr>
          <w:rFonts w:ascii="Times New Roman" w:hAnsi="Times New Roman"/>
          <w:bCs/>
          <w:sz w:val="20"/>
          <w:lang w:val="es-ES"/>
        </w:rPr>
        <w:t>ii</w:t>
      </w:r>
      <w:proofErr w:type="spellEnd"/>
      <w:r w:rsidRPr="00507577">
        <w:rPr>
          <w:rFonts w:ascii="Times New Roman" w:hAnsi="Times New Roman"/>
          <w:bCs/>
          <w:sz w:val="20"/>
          <w:lang w:val="es-ES"/>
        </w:rPr>
        <w:t xml:space="preserve">) la </w:t>
      </w:r>
      <w:r w:rsidRPr="00B1267F">
        <w:rPr>
          <w:rFonts w:ascii="Times New Roman" w:hAnsi="Times New Roman"/>
          <w:sz w:val="20"/>
          <w:lang w:val="es-ES"/>
        </w:rPr>
        <w:t>Tasa Fija Aplicable</w:t>
      </w:r>
      <w:r>
        <w:rPr>
          <w:rFonts w:ascii="Times New Roman" w:hAnsi="Times New Roman"/>
          <w:sz w:val="20"/>
          <w:lang w:val="es-ES"/>
        </w:rPr>
        <w:t xml:space="preserve"> Clase 4</w:t>
      </w:r>
      <w:r w:rsidR="000723C5">
        <w:rPr>
          <w:rFonts w:ascii="Times New Roman" w:hAnsi="Times New Roman"/>
          <w:sz w:val="20"/>
          <w:lang w:val="es-ES"/>
        </w:rPr>
        <w:t>5</w:t>
      </w:r>
      <w:r w:rsidRPr="00507577">
        <w:rPr>
          <w:rFonts w:ascii="Times New Roman" w:hAnsi="Times New Roman"/>
          <w:bCs/>
          <w:sz w:val="20"/>
          <w:lang w:val="es-ES"/>
        </w:rPr>
        <w:t xml:space="preserve">. Asimismo, en el Período de Subasta Pública, luego del cierre de la adjudicación final de las Obligaciones Negociables </w:t>
      </w:r>
      <w:r>
        <w:rPr>
          <w:rFonts w:ascii="Times New Roman" w:hAnsi="Times New Roman"/>
          <w:bCs/>
          <w:sz w:val="20"/>
          <w:lang w:val="es-ES"/>
        </w:rPr>
        <w:t>Clase 4</w:t>
      </w:r>
      <w:r w:rsidR="000723C5">
        <w:rPr>
          <w:rFonts w:ascii="Times New Roman" w:hAnsi="Times New Roman"/>
          <w:bCs/>
          <w:sz w:val="20"/>
          <w:lang w:val="es-ES"/>
        </w:rPr>
        <w:t>5</w:t>
      </w:r>
      <w:r w:rsidRPr="00507577">
        <w:rPr>
          <w:rFonts w:ascii="Times New Roman" w:hAnsi="Times New Roman"/>
          <w:bCs/>
          <w:sz w:val="20"/>
          <w:lang w:val="es-ES"/>
        </w:rPr>
        <w:t xml:space="preserve">, se publicará el Aviso de Resultados complementario al presente </w:t>
      </w:r>
      <w:r>
        <w:rPr>
          <w:rFonts w:ascii="Times New Roman" w:hAnsi="Times New Roman"/>
          <w:bCs/>
          <w:sz w:val="20"/>
          <w:lang w:val="es-ES"/>
        </w:rPr>
        <w:t xml:space="preserve">Aviso de Suscripción </w:t>
      </w:r>
      <w:r w:rsidRPr="00507577">
        <w:rPr>
          <w:rFonts w:ascii="Times New Roman" w:hAnsi="Times New Roman"/>
          <w:bCs/>
          <w:sz w:val="20"/>
          <w:lang w:val="es-ES"/>
        </w:rPr>
        <w:t xml:space="preserve">en los Sistemas Informativos, indicando el valor total ofertado de Obligaciones Negociables </w:t>
      </w:r>
      <w:r>
        <w:rPr>
          <w:rFonts w:ascii="Times New Roman" w:hAnsi="Times New Roman"/>
          <w:bCs/>
          <w:sz w:val="20"/>
          <w:lang w:val="es-ES"/>
        </w:rPr>
        <w:t>Clase 4</w:t>
      </w:r>
      <w:r w:rsidR="000723C5">
        <w:rPr>
          <w:rFonts w:ascii="Times New Roman" w:hAnsi="Times New Roman"/>
          <w:bCs/>
          <w:sz w:val="20"/>
          <w:lang w:val="es-ES"/>
        </w:rPr>
        <w:t>5</w:t>
      </w:r>
      <w:r w:rsidRPr="00507577">
        <w:rPr>
          <w:rFonts w:ascii="Times New Roman" w:hAnsi="Times New Roman"/>
          <w:bCs/>
          <w:sz w:val="20"/>
          <w:lang w:val="es-ES"/>
        </w:rPr>
        <w:t xml:space="preserve">, el valor a emitirse de Obligaciones Negociables </w:t>
      </w:r>
      <w:r>
        <w:rPr>
          <w:rFonts w:ascii="Times New Roman" w:hAnsi="Times New Roman"/>
          <w:bCs/>
          <w:sz w:val="20"/>
          <w:lang w:val="es-ES"/>
        </w:rPr>
        <w:t>Clase 4</w:t>
      </w:r>
      <w:r w:rsidR="000723C5">
        <w:rPr>
          <w:rFonts w:ascii="Times New Roman" w:hAnsi="Times New Roman"/>
          <w:bCs/>
          <w:sz w:val="20"/>
          <w:lang w:val="es-ES"/>
        </w:rPr>
        <w:t>5</w:t>
      </w:r>
      <w:r w:rsidRPr="00507577">
        <w:rPr>
          <w:rFonts w:ascii="Times New Roman" w:hAnsi="Times New Roman"/>
          <w:bCs/>
          <w:sz w:val="20"/>
          <w:lang w:val="es-ES"/>
        </w:rPr>
        <w:t xml:space="preserve"> y la Tasa Fija Aplicable</w:t>
      </w:r>
      <w:r>
        <w:rPr>
          <w:rFonts w:ascii="Times New Roman" w:hAnsi="Times New Roman"/>
          <w:bCs/>
          <w:sz w:val="20"/>
          <w:lang w:val="es-ES"/>
        </w:rPr>
        <w:t xml:space="preserve"> Clase 4</w:t>
      </w:r>
      <w:r w:rsidR="000723C5">
        <w:rPr>
          <w:rFonts w:ascii="Times New Roman" w:hAnsi="Times New Roman"/>
          <w:bCs/>
          <w:sz w:val="20"/>
          <w:lang w:val="es-ES"/>
        </w:rPr>
        <w:t>5</w:t>
      </w:r>
      <w:r w:rsidRPr="00507577">
        <w:rPr>
          <w:rFonts w:ascii="Times New Roman" w:hAnsi="Times New Roman"/>
          <w:bCs/>
          <w:sz w:val="20"/>
          <w:lang w:val="es-ES"/>
        </w:rPr>
        <w:t>. El Agente de Liquidación será el responsable de ingresar el resultado en el pliego del SIOPEL.</w:t>
      </w:r>
    </w:p>
    <w:p w14:paraId="79E9EE3A" w14:textId="0160B234" w:rsidR="00536094" w:rsidRPr="00AF3835" w:rsidRDefault="00536094" w:rsidP="00080266">
      <w:pPr>
        <w:pStyle w:val="DPWWriterInfo"/>
        <w:numPr>
          <w:ilvl w:val="0"/>
          <w:numId w:val="18"/>
        </w:numPr>
        <w:tabs>
          <w:tab w:val="num" w:pos="0"/>
        </w:tabs>
        <w:spacing w:before="120" w:after="0"/>
        <w:ind w:left="-567" w:right="-660" w:firstLine="0"/>
        <w:jc w:val="both"/>
        <w:rPr>
          <w:rFonts w:ascii="Times New Roman" w:hAnsi="Times New Roman"/>
          <w:sz w:val="20"/>
          <w:lang w:val="es-AR"/>
        </w:rPr>
      </w:pPr>
      <w:r>
        <w:rPr>
          <w:rFonts w:ascii="Times New Roman" w:hAnsi="Times New Roman"/>
          <w:b/>
          <w:sz w:val="20"/>
          <w:u w:val="single"/>
          <w:lang w:val="es-AR"/>
        </w:rPr>
        <w:t>P</w:t>
      </w:r>
      <w:r w:rsidRPr="00507577">
        <w:rPr>
          <w:rFonts w:ascii="Times New Roman" w:hAnsi="Times New Roman"/>
          <w:b/>
          <w:sz w:val="20"/>
          <w:u w:val="single"/>
          <w:lang w:val="es-AR"/>
        </w:rPr>
        <w:t>ago de Intereses:</w:t>
      </w:r>
      <w:r w:rsidRPr="00507577">
        <w:rPr>
          <w:rFonts w:ascii="Times New Roman" w:hAnsi="Times New Roman"/>
          <w:b/>
          <w:sz w:val="20"/>
          <w:lang w:val="es-AR"/>
        </w:rPr>
        <w:t xml:space="preserve"> </w:t>
      </w:r>
      <w:r w:rsidRPr="004F3197">
        <w:rPr>
          <w:rFonts w:ascii="Times New Roman" w:hAnsi="Times New Roman"/>
          <w:bCs/>
          <w:sz w:val="20"/>
          <w:lang w:val="es-AR"/>
        </w:rPr>
        <w:t xml:space="preserve">Los intereses que devengue el capital no amortizado de las Obligaciones Negociables </w:t>
      </w:r>
      <w:r>
        <w:rPr>
          <w:rFonts w:ascii="Times New Roman" w:hAnsi="Times New Roman"/>
          <w:bCs/>
          <w:sz w:val="20"/>
          <w:lang w:val="es-AR"/>
        </w:rPr>
        <w:t>Clase 4</w:t>
      </w:r>
      <w:r w:rsidR="000723C5">
        <w:rPr>
          <w:rFonts w:ascii="Times New Roman" w:hAnsi="Times New Roman"/>
          <w:bCs/>
          <w:sz w:val="20"/>
          <w:lang w:val="es-AR"/>
        </w:rPr>
        <w:t>5</w:t>
      </w:r>
      <w:r w:rsidRPr="004F3197">
        <w:rPr>
          <w:rFonts w:ascii="Times New Roman" w:hAnsi="Times New Roman"/>
          <w:bCs/>
          <w:sz w:val="20"/>
          <w:lang w:val="es-AR"/>
        </w:rPr>
        <w:t xml:space="preserve"> serán pagaderos semestralmente</w:t>
      </w:r>
      <w:r>
        <w:rPr>
          <w:rFonts w:ascii="Times New Roman" w:hAnsi="Times New Roman"/>
          <w:bCs/>
          <w:sz w:val="20"/>
          <w:lang w:val="es-AR"/>
        </w:rPr>
        <w:t xml:space="preserve"> </w:t>
      </w:r>
      <w:r w:rsidRPr="004F3197">
        <w:rPr>
          <w:rFonts w:ascii="Times New Roman" w:hAnsi="Times New Roman"/>
          <w:bCs/>
          <w:sz w:val="20"/>
          <w:lang w:val="es-AR"/>
        </w:rPr>
        <w:t>por período vencido en las fechas que sean un número de día idéntico a la Fecha de Emisión y Liquidación, pero del correspondiente mes</w:t>
      </w:r>
      <w:r>
        <w:rPr>
          <w:rFonts w:ascii="Times New Roman" w:hAnsi="Times New Roman"/>
          <w:bCs/>
          <w:sz w:val="20"/>
          <w:lang w:val="es-AR"/>
        </w:rPr>
        <w:t xml:space="preserve"> y año</w:t>
      </w:r>
      <w:r w:rsidRPr="004F3197">
        <w:rPr>
          <w:rFonts w:ascii="Times New Roman" w:hAnsi="Times New Roman"/>
          <w:bCs/>
          <w:sz w:val="20"/>
          <w:lang w:val="es-AR"/>
        </w:rPr>
        <w:t>, desde la Fecha de Emisión y Liquidación y hasta la Fecha de Vencimiento</w:t>
      </w:r>
      <w:r>
        <w:rPr>
          <w:rFonts w:ascii="Times New Roman" w:hAnsi="Times New Roman"/>
          <w:bCs/>
          <w:sz w:val="20"/>
          <w:lang w:val="es-AR"/>
        </w:rPr>
        <w:t xml:space="preserve"> de las Obligaciones Negociables Clase 4</w:t>
      </w:r>
      <w:r w:rsidR="000723C5">
        <w:rPr>
          <w:rFonts w:ascii="Times New Roman" w:hAnsi="Times New Roman"/>
          <w:bCs/>
          <w:sz w:val="20"/>
          <w:lang w:val="es-AR"/>
        </w:rPr>
        <w:t>5</w:t>
      </w:r>
      <w:r w:rsidRPr="004F3197">
        <w:rPr>
          <w:rFonts w:ascii="Times New Roman" w:hAnsi="Times New Roman"/>
          <w:bCs/>
          <w:sz w:val="20"/>
          <w:lang w:val="es-AR"/>
        </w:rPr>
        <w:t xml:space="preserve"> correspondiente (cada una, una “</w:t>
      </w:r>
      <w:r w:rsidRPr="00891AFA">
        <w:rPr>
          <w:rFonts w:ascii="Times New Roman" w:hAnsi="Times New Roman"/>
          <w:bCs/>
          <w:sz w:val="20"/>
          <w:u w:val="single"/>
          <w:lang w:val="es-AR"/>
        </w:rPr>
        <w:t>Fecha de Pago de Intereses</w:t>
      </w:r>
      <w:r>
        <w:rPr>
          <w:rFonts w:ascii="Times New Roman" w:hAnsi="Times New Roman"/>
          <w:bCs/>
          <w:sz w:val="20"/>
          <w:u w:val="single"/>
          <w:lang w:val="es-AR"/>
        </w:rPr>
        <w:t xml:space="preserve"> de las Obligaciones Negociables Clase 4</w:t>
      </w:r>
      <w:r w:rsidR="000723C5">
        <w:rPr>
          <w:rFonts w:ascii="Times New Roman" w:hAnsi="Times New Roman"/>
          <w:bCs/>
          <w:sz w:val="20"/>
          <w:u w:val="single"/>
          <w:lang w:val="es-AR"/>
        </w:rPr>
        <w:t>5</w:t>
      </w:r>
      <w:r w:rsidRPr="004F3197">
        <w:rPr>
          <w:rFonts w:ascii="Times New Roman" w:hAnsi="Times New Roman"/>
          <w:bCs/>
          <w:sz w:val="20"/>
          <w:lang w:val="es-AR"/>
        </w:rPr>
        <w:t>”</w:t>
      </w:r>
      <w:r>
        <w:rPr>
          <w:rFonts w:ascii="Times New Roman" w:hAnsi="Times New Roman"/>
          <w:bCs/>
          <w:sz w:val="20"/>
          <w:lang w:val="es-AR"/>
        </w:rPr>
        <w:t xml:space="preserve"> </w:t>
      </w:r>
      <w:r w:rsidRPr="004F3197">
        <w:rPr>
          <w:rFonts w:ascii="Times New Roman" w:hAnsi="Times New Roman"/>
          <w:bCs/>
          <w:sz w:val="20"/>
          <w:lang w:val="es-AR"/>
        </w:rPr>
        <w:t>y en conjunto, las “</w:t>
      </w:r>
      <w:r w:rsidRPr="00891AFA">
        <w:rPr>
          <w:rFonts w:ascii="Times New Roman" w:hAnsi="Times New Roman"/>
          <w:bCs/>
          <w:sz w:val="20"/>
          <w:u w:val="single"/>
          <w:lang w:val="es-AR"/>
        </w:rPr>
        <w:t>Fechas de Pago de Intereses</w:t>
      </w:r>
      <w:r>
        <w:rPr>
          <w:rFonts w:ascii="Times New Roman" w:hAnsi="Times New Roman"/>
          <w:bCs/>
          <w:sz w:val="20"/>
          <w:u w:val="single"/>
          <w:lang w:val="es-AR"/>
        </w:rPr>
        <w:t xml:space="preserve"> de las Obligaciones Negociables Clase 4</w:t>
      </w:r>
      <w:r w:rsidR="000723C5">
        <w:rPr>
          <w:rFonts w:ascii="Times New Roman" w:hAnsi="Times New Roman"/>
          <w:bCs/>
          <w:sz w:val="20"/>
          <w:u w:val="single"/>
          <w:lang w:val="es-AR"/>
        </w:rPr>
        <w:t>5</w:t>
      </w:r>
      <w:r w:rsidRPr="004F3197">
        <w:rPr>
          <w:rFonts w:ascii="Times New Roman" w:hAnsi="Times New Roman"/>
          <w:bCs/>
          <w:sz w:val="20"/>
          <w:lang w:val="es-AR"/>
        </w:rPr>
        <w:t xml:space="preserve">”). Las Fechas de Pago de Intereses correspondientes a las Obligaciones Negociables </w:t>
      </w:r>
      <w:r>
        <w:rPr>
          <w:rFonts w:ascii="Times New Roman" w:hAnsi="Times New Roman"/>
          <w:bCs/>
          <w:sz w:val="20"/>
          <w:lang w:val="es-AR"/>
        </w:rPr>
        <w:t>Clase 4</w:t>
      </w:r>
      <w:r w:rsidR="000723C5">
        <w:rPr>
          <w:rFonts w:ascii="Times New Roman" w:hAnsi="Times New Roman"/>
          <w:bCs/>
          <w:sz w:val="20"/>
          <w:lang w:val="es-AR"/>
        </w:rPr>
        <w:t>5</w:t>
      </w:r>
      <w:r w:rsidRPr="004F3197">
        <w:rPr>
          <w:rFonts w:ascii="Times New Roman" w:hAnsi="Times New Roman"/>
          <w:bCs/>
          <w:sz w:val="20"/>
          <w:lang w:val="es-AR"/>
        </w:rPr>
        <w:t xml:space="preserve"> serán informadas mediante la publicación del Aviso de Resultados</w:t>
      </w:r>
      <w:r w:rsidRPr="00507577">
        <w:rPr>
          <w:rFonts w:ascii="Times New Roman" w:hAnsi="Times New Roman"/>
          <w:bCs/>
          <w:sz w:val="20"/>
          <w:lang w:val="es-AR"/>
        </w:rPr>
        <w:t>.</w:t>
      </w:r>
    </w:p>
    <w:p w14:paraId="1E651D03" w14:textId="1FA39353" w:rsidR="00536094" w:rsidRPr="00B95625" w:rsidRDefault="00536094" w:rsidP="00080266">
      <w:pPr>
        <w:pStyle w:val="DPWWriterInfo"/>
        <w:numPr>
          <w:ilvl w:val="0"/>
          <w:numId w:val="18"/>
        </w:numPr>
        <w:tabs>
          <w:tab w:val="num" w:pos="0"/>
        </w:tabs>
        <w:spacing w:before="120" w:after="0"/>
        <w:ind w:left="-567" w:right="-660" w:firstLine="0"/>
        <w:jc w:val="both"/>
        <w:rPr>
          <w:rFonts w:ascii="Times New Roman" w:hAnsi="Times New Roman"/>
          <w:b/>
          <w:sz w:val="20"/>
          <w:u w:val="single"/>
          <w:lang w:val="es-AR"/>
        </w:rPr>
      </w:pPr>
      <w:r w:rsidRPr="00536094">
        <w:rPr>
          <w:rFonts w:ascii="Times New Roman" w:hAnsi="Times New Roman"/>
          <w:b/>
          <w:bCs/>
          <w:sz w:val="20"/>
          <w:u w:val="single"/>
          <w:lang w:val="es-AR"/>
        </w:rPr>
        <w:t>Período de Devengamiento de Intereses:</w:t>
      </w:r>
      <w:r w:rsidRPr="00536094">
        <w:rPr>
          <w:rFonts w:ascii="Times New Roman" w:hAnsi="Times New Roman"/>
          <w:sz w:val="20"/>
          <w:lang w:val="es-AR"/>
        </w:rPr>
        <w:t xml:space="preserve"> Significa el período comprendido entre una Fecha de Pago de Intereses de las Obligaciones Negociables Clase 4</w:t>
      </w:r>
      <w:r w:rsidR="000723C5">
        <w:rPr>
          <w:rFonts w:ascii="Times New Roman" w:hAnsi="Times New Roman"/>
          <w:sz w:val="20"/>
          <w:lang w:val="es-AR"/>
        </w:rPr>
        <w:t>5</w:t>
      </w:r>
      <w:r w:rsidRPr="00536094">
        <w:rPr>
          <w:rFonts w:ascii="Times New Roman" w:hAnsi="Times New Roman"/>
          <w:sz w:val="20"/>
          <w:lang w:val="es-AR"/>
        </w:rPr>
        <w:t xml:space="preserve"> y la Fecha de Pago de Intereses de las Obligaciones Negociables Clase 4</w:t>
      </w:r>
      <w:r w:rsidR="000723C5">
        <w:rPr>
          <w:rFonts w:ascii="Times New Roman" w:hAnsi="Times New Roman"/>
          <w:sz w:val="20"/>
          <w:lang w:val="es-AR"/>
        </w:rPr>
        <w:t>5</w:t>
      </w:r>
      <w:r w:rsidRPr="00536094">
        <w:rPr>
          <w:rFonts w:ascii="Times New Roman" w:hAnsi="Times New Roman"/>
          <w:sz w:val="20"/>
          <w:lang w:val="es-AR"/>
        </w:rPr>
        <w:t xml:space="preserve"> inmediatamente siguiente, incluyendo el primer día y excluyendo el último día. El primer Período de Devengamiento de Intereses es el comprendido entre la Fecha de Emisión y Liquidación y la primera Fecha de Pago de Intereses de las Obligaciones Negociables Clase 4</w:t>
      </w:r>
      <w:r w:rsidR="000723C5">
        <w:rPr>
          <w:rFonts w:ascii="Times New Roman" w:hAnsi="Times New Roman"/>
          <w:sz w:val="20"/>
          <w:lang w:val="es-AR"/>
        </w:rPr>
        <w:t>5</w:t>
      </w:r>
      <w:r w:rsidRPr="00536094">
        <w:rPr>
          <w:rFonts w:ascii="Times New Roman" w:hAnsi="Times New Roman"/>
          <w:sz w:val="20"/>
          <w:lang w:val="es-AR"/>
        </w:rPr>
        <w:t xml:space="preserve"> incluyendo el primer día y excluyendo el último día. El último Período de Devengamiento de Intereses es el comprendido entre la Fecha de Pago de Intereses de las Obligaciones Negociables Clase 4</w:t>
      </w:r>
      <w:r w:rsidR="000723C5">
        <w:rPr>
          <w:rFonts w:ascii="Times New Roman" w:hAnsi="Times New Roman"/>
          <w:sz w:val="20"/>
          <w:lang w:val="es-AR"/>
        </w:rPr>
        <w:t>5</w:t>
      </w:r>
      <w:r w:rsidRPr="00536094">
        <w:rPr>
          <w:rFonts w:ascii="Times New Roman" w:hAnsi="Times New Roman"/>
          <w:sz w:val="20"/>
          <w:lang w:val="es-AR"/>
        </w:rPr>
        <w:t xml:space="preserve"> inmediatamente anterior a la Fecha de Vencimiento de las Obligaciones Negociables Clase 4</w:t>
      </w:r>
      <w:r w:rsidR="000723C5">
        <w:rPr>
          <w:rFonts w:ascii="Times New Roman" w:hAnsi="Times New Roman"/>
          <w:sz w:val="20"/>
          <w:lang w:val="es-AR"/>
        </w:rPr>
        <w:t>5</w:t>
      </w:r>
      <w:r w:rsidRPr="00536094">
        <w:rPr>
          <w:rFonts w:ascii="Times New Roman" w:hAnsi="Times New Roman"/>
          <w:sz w:val="20"/>
          <w:lang w:val="es-AR"/>
        </w:rPr>
        <w:t xml:space="preserve"> y dicha Fecha de Vencimiento incluyendo el primer día y excluyendo el último día.</w:t>
      </w:r>
    </w:p>
    <w:p w14:paraId="470F3851" w14:textId="77777777" w:rsidR="00536094" w:rsidRPr="00080266" w:rsidRDefault="00536094" w:rsidP="00CF2F1F">
      <w:pPr>
        <w:pStyle w:val="DPWWriterInfo"/>
        <w:numPr>
          <w:ilvl w:val="0"/>
          <w:numId w:val="18"/>
        </w:numPr>
        <w:tabs>
          <w:tab w:val="num" w:pos="0"/>
        </w:tabs>
        <w:spacing w:before="120" w:after="0"/>
        <w:ind w:left="-567" w:right="-660" w:firstLine="0"/>
        <w:jc w:val="both"/>
        <w:rPr>
          <w:rFonts w:ascii="Times New Roman" w:hAnsi="Times New Roman"/>
          <w:b/>
          <w:sz w:val="20"/>
          <w:u w:val="single"/>
          <w:lang w:val="es-AR"/>
        </w:rPr>
      </w:pPr>
      <w:r w:rsidRPr="00536094">
        <w:rPr>
          <w:rFonts w:ascii="Times New Roman" w:hAnsi="Times New Roman"/>
          <w:b/>
          <w:bCs/>
          <w:sz w:val="20"/>
          <w:u w:val="single"/>
          <w:lang w:val="es-AR"/>
        </w:rPr>
        <w:t>Base para el Cómputo de los Días:</w:t>
      </w:r>
      <w:r w:rsidRPr="00536094">
        <w:rPr>
          <w:rFonts w:ascii="Times New Roman" w:hAnsi="Times New Roman"/>
          <w:sz w:val="20"/>
          <w:lang w:val="es-AR"/>
        </w:rPr>
        <w:t xml:space="preserve"> Para el cálculo de los intereses se considerará la cantidad real de días transcurridos y un año de 365 días (cantidad real de días transcurrido/365).</w:t>
      </w:r>
    </w:p>
    <w:p w14:paraId="772A9291" w14:textId="40D56269" w:rsidR="002465C5" w:rsidRPr="00536094" w:rsidRDefault="00536094" w:rsidP="00080266">
      <w:pPr>
        <w:pStyle w:val="DPWWriterInfo"/>
        <w:numPr>
          <w:ilvl w:val="0"/>
          <w:numId w:val="18"/>
        </w:numPr>
        <w:tabs>
          <w:tab w:val="num" w:pos="0"/>
        </w:tabs>
        <w:spacing w:before="120" w:after="0"/>
        <w:ind w:left="-567" w:right="-660" w:firstLine="0"/>
        <w:jc w:val="both"/>
        <w:rPr>
          <w:rFonts w:ascii="Times New Roman" w:hAnsi="Times New Roman"/>
          <w:b/>
          <w:sz w:val="20"/>
          <w:u w:val="single"/>
          <w:lang w:val="es-AR"/>
        </w:rPr>
      </w:pPr>
      <w:r w:rsidRPr="00536094">
        <w:rPr>
          <w:rFonts w:ascii="Times New Roman" w:hAnsi="Times New Roman"/>
          <w:b/>
          <w:sz w:val="20"/>
          <w:u w:val="single"/>
          <w:lang w:val="es-AR"/>
        </w:rPr>
        <w:t>Calificación de Riesgo:</w:t>
      </w:r>
      <w:r w:rsidRPr="00536094">
        <w:rPr>
          <w:rFonts w:ascii="Times New Roman" w:hAnsi="Times New Roman"/>
          <w:bCs/>
          <w:sz w:val="20"/>
          <w:lang w:val="es-AR"/>
        </w:rPr>
        <w:t xml:space="preserve">  Las Obligaciones Negociables Clase 4</w:t>
      </w:r>
      <w:r w:rsidR="000723C5">
        <w:rPr>
          <w:rFonts w:ascii="Times New Roman" w:hAnsi="Times New Roman"/>
          <w:bCs/>
          <w:sz w:val="20"/>
          <w:lang w:val="es-AR"/>
        </w:rPr>
        <w:t>5</w:t>
      </w:r>
      <w:r w:rsidRPr="00536094">
        <w:rPr>
          <w:rFonts w:ascii="Times New Roman" w:hAnsi="Times New Roman"/>
          <w:bCs/>
          <w:sz w:val="20"/>
          <w:lang w:val="es-AR"/>
        </w:rPr>
        <w:t xml:space="preserve"> han obtenido con fecha [___] la calificación de riesgo de “[___]” otorgada por Fix </w:t>
      </w:r>
      <w:proofErr w:type="spellStart"/>
      <w:r w:rsidRPr="00536094">
        <w:rPr>
          <w:rFonts w:ascii="Times New Roman" w:hAnsi="Times New Roman"/>
          <w:bCs/>
          <w:sz w:val="20"/>
          <w:lang w:val="es-AR"/>
        </w:rPr>
        <w:t>Scr</w:t>
      </w:r>
      <w:proofErr w:type="spellEnd"/>
      <w:r w:rsidRPr="00536094">
        <w:rPr>
          <w:rFonts w:ascii="Times New Roman" w:hAnsi="Times New Roman"/>
          <w:bCs/>
          <w:sz w:val="20"/>
          <w:lang w:val="es-AR"/>
        </w:rPr>
        <w:t xml:space="preserve"> S.A. Agente de Calificación de Riesgo. </w:t>
      </w:r>
      <w:r w:rsidRPr="00536094">
        <w:rPr>
          <w:rFonts w:ascii="Times New Roman" w:hAnsi="Times New Roman"/>
          <w:bCs/>
          <w:sz w:val="20"/>
          <w:lang w:val="es-ES"/>
        </w:rPr>
        <w:t xml:space="preserve">Para más detalle, véase </w:t>
      </w:r>
      <w:r w:rsidRPr="00536094">
        <w:rPr>
          <w:rFonts w:ascii="Times New Roman" w:hAnsi="Times New Roman"/>
          <w:bCs/>
          <w:i/>
          <w:iCs/>
          <w:sz w:val="20"/>
          <w:lang w:val="es-ES"/>
        </w:rPr>
        <w:t>“Oferta de los Valores Negociables”</w:t>
      </w:r>
      <w:r w:rsidRPr="00536094">
        <w:rPr>
          <w:rFonts w:ascii="Times New Roman" w:hAnsi="Times New Roman"/>
          <w:bCs/>
          <w:sz w:val="20"/>
          <w:lang w:val="es-ES"/>
        </w:rPr>
        <w:t xml:space="preserve"> en el Suplemento de Prospecto. El Programa también ha recibido una calificación de riesgo, la cual puede ser consultada en </w:t>
      </w:r>
      <w:r w:rsidRPr="00536094">
        <w:rPr>
          <w:rFonts w:ascii="Times New Roman" w:hAnsi="Times New Roman"/>
          <w:bCs/>
          <w:i/>
          <w:iCs/>
          <w:sz w:val="20"/>
          <w:lang w:val="es-ES"/>
        </w:rPr>
        <w:t>“Términos y Condiciones de las Obligaciones Negociables – Calificaciones de Riesgo”</w:t>
      </w:r>
      <w:r w:rsidRPr="00536094">
        <w:rPr>
          <w:rFonts w:ascii="Times New Roman" w:hAnsi="Times New Roman"/>
          <w:bCs/>
          <w:sz w:val="20"/>
          <w:lang w:val="es-ES"/>
        </w:rPr>
        <w:t xml:space="preserve"> del Prospecto de Programa.</w:t>
      </w:r>
    </w:p>
    <w:bookmarkEnd w:id="7"/>
    <w:p w14:paraId="261ADDD2" w14:textId="77777777" w:rsidR="007A60FD" w:rsidRPr="00507577" w:rsidRDefault="007A60FD" w:rsidP="003317D9">
      <w:pPr>
        <w:pStyle w:val="DPWWriterInfo"/>
        <w:spacing w:before="120" w:after="0"/>
        <w:ind w:left="-567" w:right="-660"/>
        <w:jc w:val="both"/>
        <w:rPr>
          <w:rFonts w:ascii="Times New Roman" w:hAnsi="Times New Roman"/>
          <w:sz w:val="20"/>
          <w:lang w:val="es-AR"/>
        </w:rPr>
      </w:pPr>
      <w:r w:rsidRPr="00507577">
        <w:rPr>
          <w:rFonts w:ascii="Times New Roman" w:hAnsi="Times New Roman"/>
          <w:i/>
          <w:iCs/>
          <w:sz w:val="20"/>
          <w:lang w:val="es-AR"/>
        </w:rPr>
        <w:t>La oferta pública de las Obligaciones Negociables ha sido autorizada exclusivamente en la Argentina. Ver en el Prospecto “NOTIFICACIÓN A LOS POTENCIALES INVERSORES”.</w:t>
      </w:r>
    </w:p>
    <w:p w14:paraId="6FBC7F07" w14:textId="77777777" w:rsidR="007A60FD" w:rsidRPr="00507577" w:rsidRDefault="007A60FD" w:rsidP="003317D9">
      <w:pPr>
        <w:pStyle w:val="DPWWriterInfo"/>
        <w:spacing w:before="120" w:after="0"/>
        <w:ind w:left="-567" w:right="-660"/>
        <w:jc w:val="both"/>
        <w:rPr>
          <w:rFonts w:ascii="Times New Roman" w:hAnsi="Times New Roman"/>
          <w:b/>
          <w:bCs/>
          <w:i/>
          <w:iCs/>
          <w:sz w:val="20"/>
          <w:lang w:val="es-AR"/>
        </w:rPr>
      </w:pPr>
      <w:r w:rsidRPr="00507577">
        <w:rPr>
          <w:rFonts w:ascii="Times New Roman" w:hAnsi="Times New Roman"/>
          <w:b/>
          <w:bCs/>
          <w:i/>
          <w:iCs/>
          <w:sz w:val="20"/>
          <w:u w:val="single"/>
          <w:lang w:val="es-AR"/>
        </w:rPr>
        <w:t>Exclusión del Sistema de Seguro de Garantía de los Depósitos y carencia de privilegio</w:t>
      </w:r>
      <w:r w:rsidRPr="00507577">
        <w:rPr>
          <w:rFonts w:ascii="Times New Roman" w:hAnsi="Times New Roman"/>
          <w:b/>
          <w:bCs/>
          <w:i/>
          <w:iCs/>
          <w:sz w:val="20"/>
          <w:lang w:val="es-AR"/>
        </w:rPr>
        <w:t>. Se deja expresa constancia que las Obligaciones Negociables (a) se encuentran excluidas del Sistema de Seguro de Garantía de los Depósitos de la Ley N</w:t>
      </w:r>
      <w:r w:rsidR="000756A4" w:rsidRPr="00507577">
        <w:rPr>
          <w:rFonts w:ascii="Times New Roman" w:hAnsi="Times New Roman"/>
          <w:b/>
          <w:bCs/>
          <w:i/>
          <w:iCs/>
          <w:sz w:val="20"/>
          <w:lang w:val="es-AR"/>
        </w:rPr>
        <w:t xml:space="preserve">ro. </w:t>
      </w:r>
      <w:r w:rsidRPr="00507577">
        <w:rPr>
          <w:rFonts w:ascii="Times New Roman" w:hAnsi="Times New Roman"/>
          <w:b/>
          <w:bCs/>
          <w:i/>
          <w:iCs/>
          <w:sz w:val="20"/>
          <w:lang w:val="es-AR"/>
        </w:rPr>
        <w:t>24.485; (b) no cuentan con el privilegio general otorgado a los depositantes en caso de liquidación o quiebra de una entidad financiera por los artículos 49, inciso (e), apartados (i) y (</w:t>
      </w:r>
      <w:proofErr w:type="spellStart"/>
      <w:r w:rsidRPr="00507577">
        <w:rPr>
          <w:rFonts w:ascii="Times New Roman" w:hAnsi="Times New Roman"/>
          <w:b/>
          <w:bCs/>
          <w:i/>
          <w:iCs/>
          <w:sz w:val="20"/>
          <w:lang w:val="es-AR"/>
        </w:rPr>
        <w:t>ii</w:t>
      </w:r>
      <w:proofErr w:type="spellEnd"/>
      <w:r w:rsidRPr="00507577">
        <w:rPr>
          <w:rFonts w:ascii="Times New Roman" w:hAnsi="Times New Roman"/>
          <w:b/>
          <w:bCs/>
          <w:i/>
          <w:iCs/>
          <w:sz w:val="20"/>
          <w:lang w:val="es-AR"/>
        </w:rPr>
        <w:t xml:space="preserve">) y 53, inciso (c) de la Ley de Entidades Financieras </w:t>
      </w:r>
      <w:proofErr w:type="spellStart"/>
      <w:r w:rsidRPr="00507577">
        <w:rPr>
          <w:rFonts w:ascii="Times New Roman" w:hAnsi="Times New Roman"/>
          <w:b/>
          <w:bCs/>
          <w:i/>
          <w:iCs/>
          <w:sz w:val="20"/>
          <w:lang w:val="es-AR"/>
        </w:rPr>
        <w:t>Nº</w:t>
      </w:r>
      <w:proofErr w:type="spellEnd"/>
      <w:r w:rsidRPr="00507577">
        <w:rPr>
          <w:rFonts w:ascii="Times New Roman" w:hAnsi="Times New Roman"/>
          <w:b/>
          <w:bCs/>
          <w:i/>
          <w:iCs/>
          <w:sz w:val="20"/>
          <w:lang w:val="es-AR"/>
        </w:rPr>
        <w:t xml:space="preserve"> 21.526 y sus modificatoria; (c) no cuentan con garantía flotante o especial ni se encuentran avaladas o garantizadas por cualquier otro medio ni por otra entidad financiera, y (d) constituyen obligaciones directas, incondicionales, no subordinadas y con garantía común de </w:t>
      </w:r>
      <w:r w:rsidR="00FE07E9" w:rsidRPr="00507577">
        <w:rPr>
          <w:rFonts w:ascii="Times New Roman" w:hAnsi="Times New Roman"/>
          <w:b/>
          <w:bCs/>
          <w:i/>
          <w:iCs/>
          <w:sz w:val="20"/>
          <w:lang w:val="es-AR"/>
        </w:rPr>
        <w:t>BBVA</w:t>
      </w:r>
      <w:r w:rsidRPr="00507577">
        <w:rPr>
          <w:rFonts w:ascii="Times New Roman" w:hAnsi="Times New Roman"/>
          <w:b/>
          <w:bCs/>
          <w:i/>
          <w:iCs/>
          <w:sz w:val="20"/>
          <w:lang w:val="es-AR"/>
        </w:rPr>
        <w:t xml:space="preserve">. </w:t>
      </w:r>
    </w:p>
    <w:p w14:paraId="2D622329" w14:textId="77777777" w:rsidR="007A60FD" w:rsidRPr="00507577" w:rsidRDefault="007A60FD" w:rsidP="003317D9">
      <w:pPr>
        <w:pStyle w:val="DPWWriterInfo"/>
        <w:spacing w:before="120" w:after="0"/>
        <w:ind w:left="-567" w:right="-660"/>
        <w:jc w:val="both"/>
        <w:rPr>
          <w:rFonts w:ascii="Times New Roman" w:hAnsi="Times New Roman"/>
          <w:i/>
          <w:iCs/>
          <w:sz w:val="20"/>
          <w:lang w:val="es-AR"/>
        </w:rPr>
      </w:pPr>
      <w:r w:rsidRPr="00507577">
        <w:rPr>
          <w:rFonts w:ascii="Times New Roman" w:hAnsi="Times New Roman"/>
          <w:b/>
          <w:i/>
          <w:iCs/>
          <w:sz w:val="20"/>
          <w:u w:val="single"/>
          <w:lang w:val="es-AR"/>
        </w:rPr>
        <w:t>Ausencia de garantía de los accionistas</w:t>
      </w:r>
      <w:r w:rsidRPr="00507577">
        <w:rPr>
          <w:rFonts w:ascii="Times New Roman" w:hAnsi="Times New Roman"/>
          <w:b/>
          <w:i/>
          <w:iCs/>
          <w:sz w:val="20"/>
          <w:lang w:val="es-AR"/>
        </w:rPr>
        <w:t xml:space="preserve">. </w:t>
      </w:r>
      <w:r w:rsidR="00FE07E9" w:rsidRPr="00507577">
        <w:rPr>
          <w:rFonts w:ascii="Times New Roman" w:hAnsi="Times New Roman"/>
          <w:b/>
          <w:i/>
          <w:iCs/>
          <w:sz w:val="20"/>
          <w:lang w:val="es-AR"/>
        </w:rPr>
        <w:t xml:space="preserve">BBVA </w:t>
      </w:r>
      <w:r w:rsidRPr="00507577">
        <w:rPr>
          <w:rFonts w:ascii="Times New Roman" w:hAnsi="Times New Roman"/>
          <w:b/>
          <w:i/>
          <w:iCs/>
          <w:sz w:val="20"/>
          <w:lang w:val="es-AR"/>
        </w:rPr>
        <w:t xml:space="preserve">es una sociedad anónima constituida en la República Argentina de acuerdo con la Ley </w:t>
      </w:r>
      <w:r w:rsidR="008D21E6" w:rsidRPr="00507577">
        <w:rPr>
          <w:rFonts w:ascii="Times New Roman" w:hAnsi="Times New Roman"/>
          <w:b/>
          <w:i/>
          <w:iCs/>
          <w:sz w:val="20"/>
          <w:lang w:val="es-AR"/>
        </w:rPr>
        <w:t xml:space="preserve">General </w:t>
      </w:r>
      <w:r w:rsidRPr="00507577">
        <w:rPr>
          <w:rFonts w:ascii="Times New Roman" w:hAnsi="Times New Roman"/>
          <w:b/>
          <w:i/>
          <w:iCs/>
          <w:sz w:val="20"/>
          <w:lang w:val="es-AR"/>
        </w:rPr>
        <w:t>de Sociedades N</w:t>
      </w:r>
      <w:r w:rsidR="000756A4" w:rsidRPr="00507577">
        <w:rPr>
          <w:rFonts w:ascii="Times New Roman" w:hAnsi="Times New Roman"/>
          <w:b/>
          <w:i/>
          <w:iCs/>
          <w:sz w:val="20"/>
          <w:lang w:val="es-AR"/>
        </w:rPr>
        <w:t>ro.</w:t>
      </w:r>
      <w:r w:rsidRPr="00507577">
        <w:rPr>
          <w:rFonts w:ascii="Times New Roman" w:hAnsi="Times New Roman"/>
          <w:b/>
          <w:i/>
          <w:iCs/>
          <w:sz w:val="20"/>
          <w:lang w:val="es-AR"/>
        </w:rPr>
        <w:t xml:space="preserve"> 19.550, conforme a la cual los accionistas limitan su responsabilidad a la integración de las acciones suscriptas. Por consiguiente, y en cumplimiento de la Ley N</w:t>
      </w:r>
      <w:r w:rsidR="000756A4" w:rsidRPr="00507577">
        <w:rPr>
          <w:rFonts w:ascii="Times New Roman" w:hAnsi="Times New Roman"/>
          <w:b/>
          <w:i/>
          <w:iCs/>
          <w:sz w:val="20"/>
          <w:lang w:val="es-AR"/>
        </w:rPr>
        <w:t>ro.</w:t>
      </w:r>
      <w:r w:rsidRPr="00507577">
        <w:rPr>
          <w:rFonts w:ascii="Times New Roman" w:hAnsi="Times New Roman"/>
          <w:b/>
          <w:i/>
          <w:iCs/>
          <w:sz w:val="20"/>
          <w:lang w:val="es-AR"/>
        </w:rPr>
        <w:t xml:space="preserve"> 25.738, ningún accionista de </w:t>
      </w:r>
      <w:r w:rsidR="00FE07E9" w:rsidRPr="00507577">
        <w:rPr>
          <w:rFonts w:ascii="Times New Roman" w:hAnsi="Times New Roman"/>
          <w:b/>
          <w:i/>
          <w:iCs/>
          <w:sz w:val="20"/>
          <w:lang w:val="es-AR"/>
        </w:rPr>
        <w:t xml:space="preserve">BBVA </w:t>
      </w:r>
      <w:r w:rsidRPr="00507577">
        <w:rPr>
          <w:rFonts w:ascii="Times New Roman" w:hAnsi="Times New Roman"/>
          <w:b/>
          <w:i/>
          <w:iCs/>
          <w:sz w:val="20"/>
          <w:lang w:val="es-AR"/>
        </w:rPr>
        <w:t xml:space="preserve">(ya sea extranjero o nacional) responde en exceso de la citada integración accionaria, por obligaciones emergentes de las operaciones concertadas por </w:t>
      </w:r>
      <w:r w:rsidR="00FE07E9" w:rsidRPr="00507577">
        <w:rPr>
          <w:rFonts w:ascii="Times New Roman" w:hAnsi="Times New Roman"/>
          <w:b/>
          <w:i/>
          <w:iCs/>
          <w:sz w:val="20"/>
          <w:lang w:val="es-AR"/>
        </w:rPr>
        <w:t>BBVA</w:t>
      </w:r>
      <w:r w:rsidRPr="00507577">
        <w:rPr>
          <w:rFonts w:ascii="Times New Roman" w:hAnsi="Times New Roman"/>
          <w:b/>
          <w:i/>
          <w:iCs/>
          <w:sz w:val="20"/>
          <w:lang w:val="es-AR"/>
        </w:rPr>
        <w:t>.</w:t>
      </w:r>
      <w:r w:rsidRPr="00507577">
        <w:rPr>
          <w:rFonts w:ascii="Times New Roman" w:hAnsi="Times New Roman"/>
          <w:i/>
          <w:iCs/>
          <w:sz w:val="20"/>
          <w:lang w:val="es-AR"/>
        </w:rPr>
        <w:t xml:space="preserve"> </w:t>
      </w:r>
    </w:p>
    <w:p w14:paraId="28EB99DD" w14:textId="61980DE4" w:rsidR="007A60FD" w:rsidRPr="00507577" w:rsidRDefault="007A60FD" w:rsidP="003317D9">
      <w:pPr>
        <w:pStyle w:val="DPWWriterInfo"/>
        <w:spacing w:before="120" w:after="0"/>
        <w:ind w:left="-567" w:right="-660"/>
        <w:jc w:val="both"/>
        <w:rPr>
          <w:rFonts w:ascii="Times New Roman" w:hAnsi="Times New Roman"/>
          <w:b/>
          <w:bCs/>
          <w:i/>
          <w:iCs/>
          <w:sz w:val="20"/>
          <w:lang w:val="es-AR"/>
        </w:rPr>
      </w:pPr>
      <w:r w:rsidRPr="00507577">
        <w:rPr>
          <w:rFonts w:ascii="Times New Roman" w:hAnsi="Times New Roman"/>
          <w:b/>
          <w:bCs/>
          <w:i/>
          <w:iCs/>
          <w:sz w:val="20"/>
          <w:lang w:val="es-AR"/>
        </w:rPr>
        <w:t>Oferta Pública autorizada por Resoluci</w:t>
      </w:r>
      <w:r w:rsidR="009F3548" w:rsidRPr="00507577">
        <w:rPr>
          <w:rFonts w:ascii="Times New Roman" w:hAnsi="Times New Roman"/>
          <w:b/>
          <w:bCs/>
          <w:i/>
          <w:iCs/>
          <w:sz w:val="20"/>
          <w:lang w:val="es-AR"/>
        </w:rPr>
        <w:t>o</w:t>
      </w:r>
      <w:r w:rsidRPr="00507577">
        <w:rPr>
          <w:rFonts w:ascii="Times New Roman" w:hAnsi="Times New Roman"/>
          <w:b/>
          <w:bCs/>
          <w:i/>
          <w:iCs/>
          <w:sz w:val="20"/>
          <w:lang w:val="es-AR"/>
        </w:rPr>
        <w:t>n</w:t>
      </w:r>
      <w:r w:rsidR="009F3548" w:rsidRPr="00507577">
        <w:rPr>
          <w:rFonts w:ascii="Times New Roman" w:hAnsi="Times New Roman"/>
          <w:b/>
          <w:bCs/>
          <w:i/>
          <w:iCs/>
          <w:sz w:val="20"/>
          <w:lang w:val="es-AR"/>
        </w:rPr>
        <w:t>es</w:t>
      </w:r>
      <w:r w:rsidRPr="00507577">
        <w:rPr>
          <w:rFonts w:ascii="Times New Roman" w:hAnsi="Times New Roman"/>
          <w:b/>
          <w:bCs/>
          <w:i/>
          <w:iCs/>
          <w:sz w:val="20"/>
          <w:lang w:val="es-AR"/>
        </w:rPr>
        <w:t xml:space="preserve"> </w:t>
      </w:r>
      <w:r w:rsidR="00FE07E9" w:rsidRPr="00507577">
        <w:rPr>
          <w:rFonts w:ascii="Times New Roman" w:hAnsi="Times New Roman"/>
          <w:b/>
          <w:bCs/>
          <w:i/>
          <w:iCs/>
          <w:sz w:val="20"/>
          <w:lang w:val="es-AR"/>
        </w:rPr>
        <w:t>No. 14.967 de fecha 29 de noviembre de 2004, No. 16.010 de fecha 6 de noviembre de 2008</w:t>
      </w:r>
      <w:r w:rsidR="00BB0277" w:rsidRPr="00507577">
        <w:rPr>
          <w:rFonts w:ascii="Times New Roman" w:hAnsi="Times New Roman"/>
          <w:b/>
          <w:bCs/>
          <w:i/>
          <w:iCs/>
          <w:sz w:val="20"/>
          <w:lang w:val="es-AR"/>
        </w:rPr>
        <w:t>,</w:t>
      </w:r>
      <w:r w:rsidR="00FE07E9" w:rsidRPr="00507577">
        <w:rPr>
          <w:rFonts w:ascii="Times New Roman" w:hAnsi="Times New Roman"/>
          <w:b/>
          <w:bCs/>
          <w:i/>
          <w:iCs/>
          <w:sz w:val="20"/>
          <w:lang w:val="es-AR"/>
        </w:rPr>
        <w:t xml:space="preserve"> No. 16.611 de fecha 21 de julio de 2011</w:t>
      </w:r>
      <w:r w:rsidR="008B3031" w:rsidRPr="00507577">
        <w:rPr>
          <w:rFonts w:ascii="Times New Roman" w:hAnsi="Times New Roman"/>
          <w:b/>
          <w:bCs/>
          <w:i/>
          <w:iCs/>
          <w:sz w:val="20"/>
          <w:lang w:val="es-AR"/>
        </w:rPr>
        <w:t>,</w:t>
      </w:r>
      <w:r w:rsidR="00FE07E9" w:rsidRPr="00507577">
        <w:rPr>
          <w:rFonts w:ascii="Times New Roman" w:hAnsi="Times New Roman"/>
          <w:b/>
          <w:bCs/>
          <w:i/>
          <w:iCs/>
          <w:sz w:val="20"/>
          <w:lang w:val="es-AR"/>
        </w:rPr>
        <w:t xml:space="preserve"> </w:t>
      </w:r>
      <w:r w:rsidR="00BB0277" w:rsidRPr="00507577">
        <w:rPr>
          <w:rFonts w:ascii="Times New Roman" w:hAnsi="Times New Roman"/>
          <w:b/>
          <w:bCs/>
          <w:i/>
          <w:spacing w:val="-3"/>
          <w:sz w:val="20"/>
          <w:lang w:val="es-AR"/>
        </w:rPr>
        <w:t xml:space="preserve">No. </w:t>
      </w:r>
      <w:r w:rsidR="00BB0277" w:rsidRPr="00507577">
        <w:rPr>
          <w:rFonts w:ascii="Times New Roman" w:hAnsi="Times New Roman"/>
          <w:b/>
          <w:i/>
          <w:sz w:val="20"/>
          <w:lang w:val="es-AR"/>
        </w:rPr>
        <w:t>16.826 de fecha 30 de mayo de 2012</w:t>
      </w:r>
      <w:r w:rsidR="005B02E1" w:rsidRPr="00507577">
        <w:rPr>
          <w:rFonts w:ascii="Times New Roman" w:hAnsi="Times New Roman"/>
          <w:b/>
          <w:i/>
          <w:sz w:val="20"/>
          <w:lang w:val="es-AR"/>
        </w:rPr>
        <w:t>,</w:t>
      </w:r>
      <w:r w:rsidR="00BB0277" w:rsidRPr="00507577">
        <w:rPr>
          <w:rFonts w:ascii="Times New Roman" w:hAnsi="Times New Roman"/>
          <w:b/>
          <w:i/>
          <w:sz w:val="20"/>
          <w:lang w:val="es-AR"/>
        </w:rPr>
        <w:t xml:space="preserve"> </w:t>
      </w:r>
      <w:r w:rsidR="008B3031" w:rsidRPr="00507577">
        <w:rPr>
          <w:rFonts w:ascii="Times New Roman" w:hAnsi="Times New Roman"/>
          <w:b/>
          <w:bCs/>
          <w:i/>
          <w:spacing w:val="-3"/>
          <w:sz w:val="20"/>
          <w:lang w:val="es-AR"/>
        </w:rPr>
        <w:t xml:space="preserve">No. </w:t>
      </w:r>
      <w:r w:rsidR="004B1464" w:rsidRPr="00507577">
        <w:rPr>
          <w:rFonts w:ascii="Times New Roman" w:hAnsi="Times New Roman"/>
          <w:b/>
          <w:i/>
          <w:sz w:val="20"/>
          <w:lang w:val="es-AR"/>
        </w:rPr>
        <w:t>17.127</w:t>
      </w:r>
      <w:r w:rsidR="008B3031" w:rsidRPr="00507577">
        <w:rPr>
          <w:rFonts w:ascii="Times New Roman" w:hAnsi="Times New Roman"/>
          <w:b/>
          <w:i/>
          <w:sz w:val="20"/>
          <w:lang w:val="es-AR"/>
        </w:rPr>
        <w:t xml:space="preserve"> de fecha </w:t>
      </w:r>
      <w:r w:rsidR="004B1464" w:rsidRPr="00507577">
        <w:rPr>
          <w:rFonts w:ascii="Times New Roman" w:hAnsi="Times New Roman"/>
          <w:b/>
          <w:i/>
          <w:sz w:val="20"/>
          <w:lang w:val="es-AR"/>
        </w:rPr>
        <w:t>11</w:t>
      </w:r>
      <w:r w:rsidR="00C318F7" w:rsidRPr="00507577">
        <w:rPr>
          <w:rFonts w:ascii="Times New Roman" w:hAnsi="Times New Roman"/>
          <w:b/>
          <w:i/>
          <w:sz w:val="20"/>
          <w:lang w:val="es-AR"/>
        </w:rPr>
        <w:t xml:space="preserve"> </w:t>
      </w:r>
      <w:r w:rsidR="008B3031" w:rsidRPr="00507577">
        <w:rPr>
          <w:rFonts w:ascii="Times New Roman" w:hAnsi="Times New Roman"/>
          <w:b/>
          <w:i/>
          <w:sz w:val="20"/>
          <w:lang w:val="es-AR"/>
        </w:rPr>
        <w:t>de julio de 2013</w:t>
      </w:r>
      <w:r w:rsidR="00241DA0" w:rsidRPr="00507577">
        <w:rPr>
          <w:rFonts w:ascii="Times New Roman" w:hAnsi="Times New Roman"/>
          <w:b/>
          <w:i/>
          <w:sz w:val="20"/>
          <w:lang w:val="es-AR"/>
        </w:rPr>
        <w:t>,</w:t>
      </w:r>
      <w:r w:rsidR="005B02E1" w:rsidRPr="00507577">
        <w:rPr>
          <w:rFonts w:ascii="Times New Roman" w:hAnsi="Times New Roman"/>
          <w:b/>
          <w:i/>
          <w:sz w:val="20"/>
          <w:lang w:val="es-AR"/>
        </w:rPr>
        <w:t xml:space="preserve"> No. RESFC-2018-19516-APN-DIR#CNV de fecha 17 de mayo de 2018 </w:t>
      </w:r>
      <w:r w:rsidRPr="00507577">
        <w:rPr>
          <w:rFonts w:ascii="Times New Roman" w:hAnsi="Times New Roman"/>
          <w:b/>
          <w:bCs/>
          <w:i/>
          <w:iCs/>
          <w:sz w:val="20"/>
          <w:lang w:val="es-AR"/>
        </w:rPr>
        <w:t xml:space="preserve">de la </w:t>
      </w:r>
      <w:r w:rsidR="008D21E6" w:rsidRPr="00507577">
        <w:rPr>
          <w:rFonts w:ascii="Times New Roman" w:hAnsi="Times New Roman"/>
          <w:b/>
          <w:bCs/>
          <w:i/>
          <w:iCs/>
          <w:sz w:val="20"/>
          <w:lang w:val="es-AR"/>
        </w:rPr>
        <w:t>CNV</w:t>
      </w:r>
      <w:r w:rsidR="00C17067">
        <w:rPr>
          <w:rFonts w:ascii="Times New Roman" w:hAnsi="Times New Roman"/>
          <w:b/>
          <w:bCs/>
          <w:i/>
          <w:iCs/>
          <w:sz w:val="20"/>
          <w:lang w:val="es-AR"/>
        </w:rPr>
        <w:t>,</w:t>
      </w:r>
      <w:r w:rsidR="00241DA0" w:rsidRPr="00507577">
        <w:rPr>
          <w:rFonts w:ascii="Times New Roman" w:hAnsi="Times New Roman"/>
          <w:b/>
          <w:bCs/>
          <w:i/>
          <w:iCs/>
          <w:sz w:val="20"/>
          <w:lang w:val="es-AR"/>
        </w:rPr>
        <w:t xml:space="preserve"> Disposición No. DI-2022-36-APN-GE#CNV de fecha 13 de julio de 2022</w:t>
      </w:r>
      <w:r w:rsidR="00C17067">
        <w:rPr>
          <w:rFonts w:ascii="Times New Roman" w:hAnsi="Times New Roman"/>
          <w:b/>
          <w:bCs/>
          <w:i/>
          <w:iCs/>
          <w:sz w:val="20"/>
          <w:lang w:val="es-AR"/>
        </w:rPr>
        <w:t xml:space="preserve"> y </w:t>
      </w:r>
      <w:r w:rsidR="00C17067" w:rsidRPr="00C17067">
        <w:rPr>
          <w:rFonts w:ascii="Times New Roman" w:hAnsi="Times New Roman"/>
          <w:b/>
          <w:bCs/>
          <w:i/>
          <w:iCs/>
          <w:sz w:val="20"/>
          <w:lang w:val="es-AR"/>
        </w:rPr>
        <w:t>Disposición N°DI-2025-80-APN-GE#CNV de fecha 15 de mayo de 2025</w:t>
      </w:r>
      <w:r w:rsidRPr="00507577">
        <w:rPr>
          <w:rFonts w:ascii="Times New Roman" w:hAnsi="Times New Roman"/>
          <w:b/>
          <w:bCs/>
          <w:i/>
          <w:iCs/>
          <w:sz w:val="20"/>
          <w:lang w:val="es-AR"/>
        </w:rPr>
        <w:t xml:space="preserve">. Esta autorización sólo significa que se ha cumplido con los requisitos establecidos en materia de información. La CNV </w:t>
      </w:r>
      <w:r w:rsidR="00B2679B" w:rsidRPr="00507577">
        <w:rPr>
          <w:rFonts w:ascii="Times New Roman" w:hAnsi="Times New Roman"/>
          <w:b/>
          <w:bCs/>
          <w:i/>
          <w:iCs/>
          <w:sz w:val="20"/>
          <w:lang w:val="es-AR"/>
        </w:rPr>
        <w:t xml:space="preserve">y </w:t>
      </w:r>
      <w:r w:rsidR="00C17067">
        <w:rPr>
          <w:rFonts w:ascii="Times New Roman" w:hAnsi="Times New Roman"/>
          <w:b/>
          <w:bCs/>
          <w:i/>
          <w:iCs/>
          <w:sz w:val="20"/>
          <w:lang w:val="es-AR"/>
        </w:rPr>
        <w:t>A3</w:t>
      </w:r>
      <w:r w:rsidR="00B2679B" w:rsidRPr="00507577">
        <w:rPr>
          <w:rFonts w:ascii="Times New Roman" w:hAnsi="Times New Roman"/>
          <w:b/>
          <w:bCs/>
          <w:i/>
          <w:iCs/>
          <w:sz w:val="20"/>
          <w:lang w:val="es-AR"/>
        </w:rPr>
        <w:t xml:space="preserve"> </w:t>
      </w:r>
      <w:r w:rsidRPr="00507577">
        <w:rPr>
          <w:rFonts w:ascii="Times New Roman" w:hAnsi="Times New Roman"/>
          <w:b/>
          <w:bCs/>
          <w:i/>
          <w:iCs/>
          <w:sz w:val="20"/>
          <w:lang w:val="es-AR"/>
        </w:rPr>
        <w:t>no ha</w:t>
      </w:r>
      <w:r w:rsidR="00B2679B" w:rsidRPr="00507577">
        <w:rPr>
          <w:rFonts w:ascii="Times New Roman" w:hAnsi="Times New Roman"/>
          <w:b/>
          <w:bCs/>
          <w:i/>
          <w:iCs/>
          <w:sz w:val="20"/>
          <w:lang w:val="es-AR"/>
        </w:rPr>
        <w:t>n</w:t>
      </w:r>
      <w:r w:rsidRPr="00507577">
        <w:rPr>
          <w:rFonts w:ascii="Times New Roman" w:hAnsi="Times New Roman"/>
          <w:b/>
          <w:bCs/>
          <w:i/>
          <w:iCs/>
          <w:sz w:val="20"/>
          <w:lang w:val="es-AR"/>
        </w:rPr>
        <w:t xml:space="preserve"> emitido juicio sobre los datos contenidos en </w:t>
      </w:r>
      <w:r w:rsidR="000C45B2" w:rsidRPr="00507577">
        <w:rPr>
          <w:rFonts w:ascii="Times New Roman" w:hAnsi="Times New Roman"/>
          <w:b/>
          <w:bCs/>
          <w:i/>
          <w:iCs/>
          <w:sz w:val="20"/>
          <w:lang w:val="es-AR"/>
        </w:rPr>
        <w:t>los Documentos de la Oferta</w:t>
      </w:r>
      <w:r w:rsidRPr="00507577">
        <w:rPr>
          <w:rFonts w:ascii="Times New Roman" w:hAnsi="Times New Roman"/>
          <w:b/>
          <w:bCs/>
          <w:i/>
          <w:iCs/>
          <w:sz w:val="20"/>
          <w:lang w:val="es-AR"/>
        </w:rPr>
        <w:t>. La veracidad de la información contable, financiera y económica, así como de toda otra informació</w:t>
      </w:r>
      <w:r w:rsidR="009F3548" w:rsidRPr="00507577">
        <w:rPr>
          <w:rFonts w:ascii="Times New Roman" w:hAnsi="Times New Roman"/>
          <w:b/>
          <w:bCs/>
          <w:i/>
          <w:iCs/>
          <w:sz w:val="20"/>
          <w:lang w:val="es-AR"/>
        </w:rPr>
        <w:t xml:space="preserve">n suministrada en </w:t>
      </w:r>
      <w:r w:rsidR="000C45B2" w:rsidRPr="00507577">
        <w:rPr>
          <w:rFonts w:ascii="Times New Roman" w:hAnsi="Times New Roman"/>
          <w:b/>
          <w:bCs/>
          <w:i/>
          <w:iCs/>
          <w:sz w:val="20"/>
          <w:lang w:val="es-AR"/>
        </w:rPr>
        <w:t>los Documentos de la Oferta</w:t>
      </w:r>
      <w:r w:rsidRPr="00507577">
        <w:rPr>
          <w:rFonts w:ascii="Times New Roman" w:hAnsi="Times New Roman"/>
          <w:b/>
          <w:bCs/>
          <w:i/>
          <w:iCs/>
          <w:sz w:val="20"/>
          <w:lang w:val="es-AR"/>
        </w:rPr>
        <w:t xml:space="preserve"> es exclusiva responsabilidad del directorio de </w:t>
      </w:r>
      <w:r w:rsidR="00FE07E9" w:rsidRPr="00507577">
        <w:rPr>
          <w:rFonts w:ascii="Times New Roman" w:hAnsi="Times New Roman"/>
          <w:b/>
          <w:bCs/>
          <w:i/>
          <w:iCs/>
          <w:sz w:val="20"/>
          <w:lang w:val="es-AR"/>
        </w:rPr>
        <w:t xml:space="preserve">BBVA </w:t>
      </w:r>
      <w:r w:rsidRPr="00507577">
        <w:rPr>
          <w:rFonts w:ascii="Times New Roman" w:hAnsi="Times New Roman"/>
          <w:b/>
          <w:bCs/>
          <w:i/>
          <w:iCs/>
          <w:sz w:val="20"/>
          <w:lang w:val="es-AR"/>
        </w:rPr>
        <w:t xml:space="preserve">y, en lo que les atañe, del órgano de fiscalización de </w:t>
      </w:r>
      <w:r w:rsidR="00FE07E9" w:rsidRPr="00507577">
        <w:rPr>
          <w:rFonts w:ascii="Times New Roman" w:hAnsi="Times New Roman"/>
          <w:b/>
          <w:bCs/>
          <w:i/>
          <w:iCs/>
          <w:sz w:val="20"/>
          <w:lang w:val="es-AR"/>
        </w:rPr>
        <w:t xml:space="preserve">BBVA </w:t>
      </w:r>
      <w:r w:rsidRPr="00507577">
        <w:rPr>
          <w:rFonts w:ascii="Times New Roman" w:hAnsi="Times New Roman"/>
          <w:b/>
          <w:bCs/>
          <w:i/>
          <w:iCs/>
          <w:sz w:val="20"/>
          <w:lang w:val="es-AR"/>
        </w:rPr>
        <w:t>y de los auditores en cuanto a sus respectivos informes sobre los estados contables. El directorio manifiesta, con carácter de declar</w:t>
      </w:r>
      <w:r w:rsidR="000C45B2" w:rsidRPr="00507577">
        <w:rPr>
          <w:rFonts w:ascii="Times New Roman" w:hAnsi="Times New Roman"/>
          <w:b/>
          <w:bCs/>
          <w:i/>
          <w:iCs/>
          <w:sz w:val="20"/>
          <w:lang w:val="es-AR"/>
        </w:rPr>
        <w:t>ación jurada que los Documentos de la Oferta</w:t>
      </w:r>
      <w:r w:rsidRPr="00507577">
        <w:rPr>
          <w:rFonts w:ascii="Times New Roman" w:hAnsi="Times New Roman"/>
          <w:b/>
          <w:bCs/>
          <w:i/>
          <w:iCs/>
          <w:sz w:val="20"/>
          <w:lang w:val="es-AR"/>
        </w:rPr>
        <w:t>, a la fecha de su publicación,</w:t>
      </w:r>
      <w:r w:rsidR="006B58E1" w:rsidRPr="00507577">
        <w:rPr>
          <w:rFonts w:ascii="Times New Roman" w:hAnsi="Times New Roman"/>
          <w:b/>
          <w:bCs/>
          <w:i/>
          <w:iCs/>
          <w:sz w:val="20"/>
          <w:lang w:val="es-AR"/>
        </w:rPr>
        <w:t xml:space="preserve"> contienen</w:t>
      </w:r>
      <w:r w:rsidRPr="00507577">
        <w:rPr>
          <w:rFonts w:ascii="Times New Roman" w:hAnsi="Times New Roman"/>
          <w:b/>
          <w:bCs/>
          <w:i/>
          <w:iCs/>
          <w:sz w:val="20"/>
          <w:lang w:val="es-AR"/>
        </w:rPr>
        <w:t xml:space="preserve"> información veraz y suficiente sobre todo hecho relevante que pueda afectar la situación patrimonial, económica y </w:t>
      </w:r>
      <w:r w:rsidRPr="00507577">
        <w:rPr>
          <w:rFonts w:ascii="Times New Roman" w:hAnsi="Times New Roman"/>
          <w:b/>
          <w:bCs/>
          <w:i/>
          <w:iCs/>
          <w:sz w:val="20"/>
          <w:lang w:val="es-AR"/>
        </w:rPr>
        <w:lastRenderedPageBreak/>
        <w:t xml:space="preserve">financiera de </w:t>
      </w:r>
      <w:r w:rsidR="00FE07E9" w:rsidRPr="00507577">
        <w:rPr>
          <w:rFonts w:ascii="Times New Roman" w:hAnsi="Times New Roman"/>
          <w:b/>
          <w:bCs/>
          <w:i/>
          <w:iCs/>
          <w:sz w:val="20"/>
          <w:lang w:val="es-AR"/>
        </w:rPr>
        <w:t xml:space="preserve">BBVA </w:t>
      </w:r>
      <w:r w:rsidRPr="00507577">
        <w:rPr>
          <w:rFonts w:ascii="Times New Roman" w:hAnsi="Times New Roman"/>
          <w:b/>
          <w:bCs/>
          <w:i/>
          <w:iCs/>
          <w:sz w:val="20"/>
          <w:lang w:val="es-AR"/>
        </w:rPr>
        <w:t xml:space="preserve">y de toda aquella que deba ser de conocimiento del público inversor con relación a la presente emisión, conforme las normas vigentes. </w:t>
      </w:r>
      <w:r w:rsidR="00B2679B" w:rsidRPr="00507577">
        <w:rPr>
          <w:rFonts w:ascii="Times New Roman" w:hAnsi="Times New Roman"/>
          <w:b/>
          <w:bCs/>
          <w:i/>
          <w:iCs/>
          <w:sz w:val="20"/>
          <w:lang w:val="es-AR"/>
        </w:rPr>
        <w:t xml:space="preserve">La oferta pública de las Obligaciones Negociables se encuentra comprendida dentro de la autorización de oferta pública otorgada por la CNV al Programa, en el marco de lo establecido por el artículo </w:t>
      </w:r>
      <w:r w:rsidR="0078186A">
        <w:rPr>
          <w:rFonts w:ascii="Times New Roman" w:hAnsi="Times New Roman"/>
          <w:b/>
          <w:bCs/>
          <w:i/>
          <w:iCs/>
          <w:sz w:val="20"/>
          <w:lang w:val="es-AR"/>
        </w:rPr>
        <w:t>23</w:t>
      </w:r>
      <w:r w:rsidR="0078186A" w:rsidRPr="00507577">
        <w:rPr>
          <w:rFonts w:ascii="Times New Roman" w:hAnsi="Times New Roman"/>
          <w:b/>
          <w:bCs/>
          <w:i/>
          <w:iCs/>
          <w:sz w:val="20"/>
          <w:lang w:val="es-AR"/>
        </w:rPr>
        <w:t xml:space="preserve"> </w:t>
      </w:r>
      <w:r w:rsidR="00B2679B" w:rsidRPr="00507577">
        <w:rPr>
          <w:rFonts w:ascii="Times New Roman" w:hAnsi="Times New Roman"/>
          <w:b/>
          <w:bCs/>
          <w:i/>
          <w:iCs/>
          <w:sz w:val="20"/>
          <w:lang w:val="es-AR"/>
        </w:rPr>
        <w:t xml:space="preserve">del Título II del Capítulo V de las Normas de la CNV. El Suplemento de Prospecto no ha sido previamente revisado ni conformado por la CNV. De acuerdo con el procedimiento establecido en el artículo </w:t>
      </w:r>
      <w:r w:rsidR="0078186A">
        <w:rPr>
          <w:rFonts w:ascii="Times New Roman" w:hAnsi="Times New Roman"/>
          <w:b/>
          <w:bCs/>
          <w:i/>
          <w:iCs/>
          <w:sz w:val="20"/>
          <w:lang w:val="es-AR"/>
        </w:rPr>
        <w:t>30</w:t>
      </w:r>
      <w:r w:rsidR="0078186A" w:rsidRPr="00507577">
        <w:rPr>
          <w:rFonts w:ascii="Times New Roman" w:hAnsi="Times New Roman"/>
          <w:b/>
          <w:bCs/>
          <w:i/>
          <w:iCs/>
          <w:sz w:val="20"/>
          <w:lang w:val="es-AR"/>
        </w:rPr>
        <w:t xml:space="preserve"> </w:t>
      </w:r>
      <w:r w:rsidR="00B2679B" w:rsidRPr="00507577">
        <w:rPr>
          <w:rFonts w:ascii="Times New Roman" w:hAnsi="Times New Roman"/>
          <w:b/>
          <w:bCs/>
          <w:i/>
          <w:iCs/>
          <w:sz w:val="20"/>
          <w:lang w:val="es-AR"/>
        </w:rPr>
        <w:t>del Título II del Capítulo V de las Normas de la CNV, dentro de los cinco días hábiles de suscriptas las Obligaciones Negociables la Emisora presentará la documentación definitiva relativa a las mismas.</w:t>
      </w:r>
    </w:p>
    <w:p w14:paraId="29645061" w14:textId="473A510A" w:rsidR="006E735F" w:rsidRDefault="007A60FD" w:rsidP="00FC2363">
      <w:pPr>
        <w:pStyle w:val="DPWWriterInfo"/>
        <w:spacing w:before="120" w:after="0"/>
        <w:ind w:left="-567" w:right="-660"/>
        <w:jc w:val="both"/>
        <w:rPr>
          <w:sz w:val="20"/>
          <w:lang w:val="es-AR"/>
        </w:rPr>
      </w:pPr>
      <w:r w:rsidRPr="00507577">
        <w:rPr>
          <w:rFonts w:ascii="Times New Roman" w:hAnsi="Times New Roman"/>
          <w:sz w:val="20"/>
          <w:lang w:val="es-AR"/>
        </w:rPr>
        <w:t>La información incluida en el presente</w:t>
      </w:r>
      <w:r w:rsidR="0081285A">
        <w:rPr>
          <w:rFonts w:ascii="Times New Roman" w:hAnsi="Times New Roman"/>
          <w:sz w:val="20"/>
          <w:lang w:val="es-AR"/>
        </w:rPr>
        <w:t xml:space="preserve"> Aviso de Suscripción</w:t>
      </w:r>
      <w:r w:rsidRPr="00507577">
        <w:rPr>
          <w:rFonts w:ascii="Times New Roman" w:hAnsi="Times New Roman"/>
          <w:sz w:val="20"/>
          <w:lang w:val="es-AR"/>
        </w:rPr>
        <w:t xml:space="preserve"> es parcial, se encuentra referida a, y deberá ser completada con, la informa</w:t>
      </w:r>
      <w:r w:rsidR="009F3548" w:rsidRPr="00507577">
        <w:rPr>
          <w:rFonts w:ascii="Times New Roman" w:hAnsi="Times New Roman"/>
          <w:sz w:val="20"/>
          <w:lang w:val="es-AR"/>
        </w:rPr>
        <w:t xml:space="preserve">ción contenida en </w:t>
      </w:r>
      <w:r w:rsidR="000C45B2" w:rsidRPr="00507577">
        <w:rPr>
          <w:rFonts w:ascii="Times New Roman" w:hAnsi="Times New Roman"/>
          <w:sz w:val="20"/>
          <w:lang w:val="es-AR"/>
        </w:rPr>
        <w:t>los Documentos de la Oferta</w:t>
      </w:r>
      <w:r w:rsidRPr="00507577">
        <w:rPr>
          <w:rFonts w:ascii="Times New Roman" w:hAnsi="Times New Roman"/>
          <w:sz w:val="20"/>
          <w:lang w:val="es-AR"/>
        </w:rPr>
        <w:t xml:space="preserve">, los cuales se encuentran a disposición de los interesados en el domicilio </w:t>
      </w:r>
      <w:r w:rsidR="00200915" w:rsidRPr="00507577">
        <w:rPr>
          <w:rFonts w:ascii="Times New Roman" w:hAnsi="Times New Roman"/>
          <w:sz w:val="20"/>
          <w:lang w:val="es-AR"/>
        </w:rPr>
        <w:t>del Emisor incluido en el presente</w:t>
      </w:r>
      <w:r w:rsidR="0081285A">
        <w:rPr>
          <w:rFonts w:ascii="Times New Roman" w:hAnsi="Times New Roman"/>
          <w:sz w:val="20"/>
          <w:lang w:val="es-AR"/>
        </w:rPr>
        <w:t xml:space="preserve"> Aviso de Suscripción</w:t>
      </w:r>
      <w:r w:rsidR="00200915" w:rsidRPr="00507577">
        <w:rPr>
          <w:rFonts w:ascii="Times New Roman" w:hAnsi="Times New Roman"/>
          <w:sz w:val="20"/>
          <w:lang w:val="es-AR"/>
        </w:rPr>
        <w:t xml:space="preserve"> </w:t>
      </w:r>
      <w:r w:rsidRPr="00507577">
        <w:rPr>
          <w:rFonts w:ascii="Times New Roman" w:hAnsi="Times New Roman"/>
          <w:sz w:val="20"/>
          <w:lang w:val="es-AR"/>
        </w:rPr>
        <w:t xml:space="preserve">y en su versión electrónica en </w:t>
      </w:r>
      <w:r w:rsidR="00EB3890" w:rsidRPr="00507577">
        <w:rPr>
          <w:rFonts w:ascii="Times New Roman" w:hAnsi="Times New Roman"/>
          <w:sz w:val="20"/>
          <w:lang w:val="es-AR"/>
        </w:rPr>
        <w:t xml:space="preserve">los Sistemas Informativos. </w:t>
      </w:r>
      <w:r w:rsidRPr="00507577">
        <w:rPr>
          <w:rFonts w:ascii="Times New Roman" w:hAnsi="Times New Roman"/>
          <w:sz w:val="20"/>
          <w:lang w:val="es-AR"/>
        </w:rPr>
        <w:t>Los interesados deberán considerar cuidadosamente la informa</w:t>
      </w:r>
      <w:r w:rsidR="00152A30" w:rsidRPr="00507577">
        <w:rPr>
          <w:rFonts w:ascii="Times New Roman" w:hAnsi="Times New Roman"/>
          <w:sz w:val="20"/>
          <w:lang w:val="es-AR"/>
        </w:rPr>
        <w:t xml:space="preserve">ción contenida en </w:t>
      </w:r>
      <w:r w:rsidR="000C45B2" w:rsidRPr="00507577">
        <w:rPr>
          <w:rFonts w:ascii="Times New Roman" w:hAnsi="Times New Roman"/>
          <w:sz w:val="20"/>
          <w:lang w:val="es-AR"/>
        </w:rPr>
        <w:t xml:space="preserve">los Documentos de la Oferta </w:t>
      </w:r>
      <w:r w:rsidRPr="00507577">
        <w:rPr>
          <w:rFonts w:ascii="Times New Roman" w:hAnsi="Times New Roman"/>
          <w:sz w:val="20"/>
          <w:lang w:val="es-AR"/>
        </w:rPr>
        <w:t>antes de tomar una decisión de invertir en las Obligaciones Negociables.</w:t>
      </w:r>
    </w:p>
    <w:p w14:paraId="167C380E" w14:textId="77777777" w:rsidR="00EC745E" w:rsidRPr="00507577" w:rsidRDefault="00EC745E" w:rsidP="002B34A1">
      <w:pPr>
        <w:tabs>
          <w:tab w:val="left" w:pos="3240"/>
        </w:tabs>
        <w:spacing w:before="120"/>
        <w:ind w:left="-567" w:right="-660"/>
        <w:jc w:val="both"/>
        <w:rPr>
          <w:sz w:val="20"/>
          <w:szCs w:val="20"/>
          <w:lang w:val="es-AR"/>
        </w:rPr>
      </w:pPr>
    </w:p>
    <w:p w14:paraId="0A7CEAC1" w14:textId="77777777" w:rsidR="00ED3F8A" w:rsidRPr="00507577" w:rsidRDefault="00ED3F8A" w:rsidP="00ED3F8A">
      <w:pPr>
        <w:spacing w:before="120"/>
        <w:jc w:val="center"/>
        <w:rPr>
          <w:b/>
          <w:bCs/>
          <w:sz w:val="20"/>
          <w:szCs w:val="20"/>
        </w:rPr>
      </w:pPr>
      <w:r w:rsidRPr="00507577">
        <w:rPr>
          <w:b/>
          <w:bCs/>
          <w:sz w:val="20"/>
          <w:szCs w:val="20"/>
        </w:rPr>
        <w:t>EMISOR</w:t>
      </w:r>
    </w:p>
    <w:tbl>
      <w:tblPr>
        <w:tblW w:w="0" w:type="auto"/>
        <w:jc w:val="center"/>
        <w:tblLayout w:type="fixed"/>
        <w:tblCellMar>
          <w:left w:w="70" w:type="dxa"/>
          <w:right w:w="70" w:type="dxa"/>
        </w:tblCellMar>
        <w:tblLook w:val="01E0" w:firstRow="1" w:lastRow="1" w:firstColumn="1" w:lastColumn="1" w:noHBand="0" w:noVBand="0"/>
      </w:tblPr>
      <w:tblGrid>
        <w:gridCol w:w="2977"/>
      </w:tblGrid>
      <w:tr w:rsidR="00ED3F8A" w:rsidRPr="00C17067" w14:paraId="2F4ACB34" w14:textId="77777777" w:rsidTr="000B2670">
        <w:trPr>
          <w:trHeight w:val="902"/>
          <w:jc w:val="center"/>
        </w:trPr>
        <w:tc>
          <w:tcPr>
            <w:tcW w:w="2977" w:type="dxa"/>
            <w:vAlign w:val="center"/>
          </w:tcPr>
          <w:p w14:paraId="7546918D" w14:textId="77777777" w:rsidR="00ED3F8A" w:rsidRPr="00B94C30" w:rsidRDefault="00ED3F8A" w:rsidP="000B2670">
            <w:pPr>
              <w:widowControl w:val="0"/>
              <w:spacing w:before="120"/>
              <w:jc w:val="center"/>
              <w:rPr>
                <w:b/>
                <w:i/>
                <w:sz w:val="18"/>
                <w:szCs w:val="18"/>
                <w:lang w:val="es-AR"/>
              </w:rPr>
            </w:pPr>
            <w:r w:rsidRPr="00B94C30">
              <w:rPr>
                <w:noProof/>
                <w:sz w:val="18"/>
                <w:szCs w:val="18"/>
              </w:rPr>
              <w:drawing>
                <wp:inline distT="0" distB="0" distL="0" distR="0" wp14:anchorId="0D89246F" wp14:editId="61476AC6">
                  <wp:extent cx="1494051" cy="533278"/>
                  <wp:effectExtent l="0" t="0" r="0" b="635"/>
                  <wp:docPr id="46699983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r:link="rId17">
                            <a:extLst>
                              <a:ext uri="{28A0092B-C50C-407E-A947-70E740481C1C}">
                                <a14:useLocalDpi xmlns:a14="http://schemas.microsoft.com/office/drawing/2010/main" val="0"/>
                              </a:ext>
                            </a:extLst>
                          </a:blip>
                          <a:srcRect l="8766" r="7780"/>
                          <a:stretch/>
                        </pic:blipFill>
                        <pic:spPr bwMode="auto">
                          <a:xfrm>
                            <a:off x="0" y="0"/>
                            <a:ext cx="1494394" cy="5334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D3F8A" w:rsidRPr="00C17067" w14:paraId="7FFE7A52" w14:textId="77777777" w:rsidTr="000B2670">
        <w:trPr>
          <w:trHeight w:val="902"/>
          <w:jc w:val="center"/>
        </w:trPr>
        <w:tc>
          <w:tcPr>
            <w:tcW w:w="2977" w:type="dxa"/>
            <w:vAlign w:val="center"/>
          </w:tcPr>
          <w:p w14:paraId="636262D4" w14:textId="77777777" w:rsidR="00ED3F8A" w:rsidRDefault="00ED3F8A" w:rsidP="000B2670">
            <w:pPr>
              <w:widowControl w:val="0"/>
              <w:spacing w:after="120"/>
              <w:jc w:val="center"/>
              <w:rPr>
                <w:b/>
                <w:sz w:val="20"/>
                <w:szCs w:val="20"/>
                <w:lang w:val="es-AR"/>
              </w:rPr>
            </w:pPr>
          </w:p>
          <w:p w14:paraId="50765028" w14:textId="77777777" w:rsidR="00ED3F8A" w:rsidRPr="00942877" w:rsidRDefault="00ED3F8A" w:rsidP="000B2670">
            <w:pPr>
              <w:widowControl w:val="0"/>
              <w:spacing w:after="120"/>
              <w:jc w:val="center"/>
              <w:rPr>
                <w:b/>
                <w:sz w:val="20"/>
                <w:szCs w:val="20"/>
                <w:lang w:val="es-AR"/>
              </w:rPr>
            </w:pPr>
            <w:r w:rsidRPr="00942877">
              <w:rPr>
                <w:b/>
                <w:sz w:val="20"/>
                <w:szCs w:val="20"/>
                <w:lang w:val="es-AR"/>
              </w:rPr>
              <w:t>Banco BBVA Argentina S.A.</w:t>
            </w:r>
          </w:p>
          <w:p w14:paraId="65EDF302" w14:textId="77777777" w:rsidR="00ED3F8A" w:rsidRPr="00942877" w:rsidRDefault="00ED3F8A" w:rsidP="000B2670">
            <w:pPr>
              <w:widowControl w:val="0"/>
              <w:jc w:val="center"/>
              <w:rPr>
                <w:sz w:val="16"/>
                <w:szCs w:val="16"/>
                <w:lang w:val="es-AR"/>
              </w:rPr>
            </w:pPr>
            <w:r w:rsidRPr="00942877">
              <w:rPr>
                <w:sz w:val="16"/>
                <w:szCs w:val="16"/>
                <w:lang w:val="es-AR"/>
              </w:rPr>
              <w:t xml:space="preserve">Agente de Liquidación y Compensación y </w:t>
            </w:r>
          </w:p>
          <w:p w14:paraId="749083D1" w14:textId="77777777" w:rsidR="00ED3F8A" w:rsidRPr="00942877" w:rsidRDefault="00ED3F8A" w:rsidP="000B2670">
            <w:pPr>
              <w:widowControl w:val="0"/>
              <w:jc w:val="center"/>
              <w:rPr>
                <w:sz w:val="16"/>
                <w:szCs w:val="16"/>
                <w:lang w:val="es-AR"/>
              </w:rPr>
            </w:pPr>
            <w:r w:rsidRPr="00942877">
              <w:rPr>
                <w:sz w:val="16"/>
                <w:szCs w:val="16"/>
                <w:lang w:val="es-AR"/>
              </w:rPr>
              <w:t xml:space="preserve">Agente de Negociación Integral </w:t>
            </w:r>
          </w:p>
          <w:p w14:paraId="671DDEF0" w14:textId="77777777" w:rsidR="00ED3F8A" w:rsidRPr="00B94C30" w:rsidRDefault="00ED3F8A" w:rsidP="000B2670">
            <w:pPr>
              <w:widowControl w:val="0"/>
              <w:jc w:val="center"/>
              <w:rPr>
                <w:b/>
                <w:noProof/>
                <w:sz w:val="18"/>
                <w:szCs w:val="18"/>
                <w:lang w:val="es-AR" w:eastAsia="es-AR"/>
              </w:rPr>
            </w:pPr>
            <w:r>
              <w:rPr>
                <w:sz w:val="16"/>
                <w:szCs w:val="16"/>
                <w:lang w:val="es-AR"/>
              </w:rPr>
              <w:t>M</w:t>
            </w:r>
            <w:r w:rsidRPr="00942877">
              <w:rPr>
                <w:sz w:val="16"/>
                <w:szCs w:val="16"/>
                <w:lang w:val="es-AR"/>
              </w:rPr>
              <w:t xml:space="preserve">atrícula </w:t>
            </w:r>
            <w:r>
              <w:rPr>
                <w:sz w:val="16"/>
                <w:szCs w:val="16"/>
                <w:lang w:val="es-AR"/>
              </w:rPr>
              <w:t>N°</w:t>
            </w:r>
            <w:r w:rsidRPr="00942877">
              <w:rPr>
                <w:sz w:val="16"/>
                <w:szCs w:val="16"/>
                <w:lang w:val="es-AR"/>
              </w:rPr>
              <w:t xml:space="preserve"> 42 de la CNV</w:t>
            </w:r>
            <w:r w:rsidRPr="00B94C30" w:rsidDel="00661FB2">
              <w:rPr>
                <w:b/>
                <w:sz w:val="18"/>
                <w:szCs w:val="18"/>
                <w:lang w:val="es-AR"/>
              </w:rPr>
              <w:t xml:space="preserve"> </w:t>
            </w:r>
          </w:p>
        </w:tc>
      </w:tr>
    </w:tbl>
    <w:p w14:paraId="60A79386" w14:textId="77777777" w:rsidR="00ED3F8A" w:rsidRDefault="00ED3F8A" w:rsidP="00ED3F8A">
      <w:pPr>
        <w:spacing w:before="120"/>
        <w:jc w:val="both"/>
        <w:rPr>
          <w:sz w:val="20"/>
          <w:szCs w:val="20"/>
        </w:rPr>
      </w:pPr>
    </w:p>
    <w:p w14:paraId="17D35FB6" w14:textId="77777777" w:rsidR="00ED3F8A" w:rsidRPr="00507577" w:rsidRDefault="00ED3F8A" w:rsidP="00ED3F8A">
      <w:pPr>
        <w:rPr>
          <w:sz w:val="20"/>
          <w:szCs w:val="20"/>
        </w:rPr>
      </w:pPr>
    </w:p>
    <w:p w14:paraId="477FAEA5" w14:textId="77777777" w:rsidR="00335EB6" w:rsidRDefault="00335EB6" w:rsidP="00335EB6">
      <w:pPr>
        <w:jc w:val="center"/>
        <w:rPr>
          <w:b/>
          <w:bCs/>
          <w:sz w:val="20"/>
          <w:szCs w:val="20"/>
          <w:lang w:val="es-AR"/>
        </w:rPr>
      </w:pPr>
      <w:r>
        <w:rPr>
          <w:b/>
          <w:bCs/>
          <w:sz w:val="20"/>
          <w:szCs w:val="20"/>
          <w:lang w:val="es-AR"/>
        </w:rPr>
        <w:t>COLOCADORES</w:t>
      </w:r>
    </w:p>
    <w:p w14:paraId="085BB9E6" w14:textId="77777777" w:rsidR="00335EB6" w:rsidRDefault="00335EB6" w:rsidP="00335EB6">
      <w:pPr>
        <w:jc w:val="center"/>
        <w:rPr>
          <w:b/>
          <w:bCs/>
          <w:sz w:val="20"/>
          <w:szCs w:val="20"/>
          <w:lang w:val="es-AR"/>
        </w:rPr>
      </w:pPr>
    </w:p>
    <w:tbl>
      <w:tblPr>
        <w:tblStyle w:val="Tablaconcuadrcula1"/>
        <w:tblW w:w="89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977"/>
        <w:gridCol w:w="2977"/>
        <w:gridCol w:w="2977"/>
      </w:tblGrid>
      <w:tr w:rsidR="00335EB6" w:rsidRPr="00942877" w14:paraId="414128C1" w14:textId="77777777" w:rsidTr="0046623D">
        <w:trPr>
          <w:trHeight w:val="902"/>
          <w:jc w:val="center"/>
        </w:trPr>
        <w:tc>
          <w:tcPr>
            <w:tcW w:w="2977" w:type="dxa"/>
          </w:tcPr>
          <w:p w14:paraId="41F76ABF" w14:textId="77777777" w:rsidR="00335EB6" w:rsidRPr="002B4A93" w:rsidRDefault="00335EB6" w:rsidP="0046623D">
            <w:pPr>
              <w:widowControl w:val="0"/>
              <w:spacing w:after="120"/>
              <w:jc w:val="center"/>
              <w:rPr>
                <w:rFonts w:ascii="Arial" w:hAnsi="Arial" w:cs="Arial"/>
                <w:b/>
                <w:noProof/>
                <w:sz w:val="14"/>
                <w:szCs w:val="14"/>
                <w:lang w:eastAsia="es-AR"/>
              </w:rPr>
            </w:pPr>
            <w:r w:rsidRPr="004C22A5">
              <w:rPr>
                <w:noProof/>
                <w:sz w:val="16"/>
                <w:szCs w:val="16"/>
              </w:rPr>
              <w:drawing>
                <wp:inline distT="0" distB="0" distL="0" distR="0" wp14:anchorId="5593DA85" wp14:editId="24330DDD">
                  <wp:extent cx="1494051" cy="533278"/>
                  <wp:effectExtent l="0" t="0" r="0" b="635"/>
                  <wp:docPr id="56734486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r:link="rId17">
                            <a:extLst>
                              <a:ext uri="{28A0092B-C50C-407E-A947-70E740481C1C}">
                                <a14:useLocalDpi xmlns:a14="http://schemas.microsoft.com/office/drawing/2010/main" val="0"/>
                              </a:ext>
                            </a:extLst>
                          </a:blip>
                          <a:srcRect l="8766" r="7780"/>
                          <a:stretch/>
                        </pic:blipFill>
                        <pic:spPr bwMode="auto">
                          <a:xfrm>
                            <a:off x="0" y="0"/>
                            <a:ext cx="1494394" cy="5334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77" w:type="dxa"/>
          </w:tcPr>
          <w:p w14:paraId="4BC6F216" w14:textId="77777777" w:rsidR="00335EB6" w:rsidRPr="00942877" w:rsidRDefault="00335EB6" w:rsidP="0046623D">
            <w:pPr>
              <w:widowControl w:val="0"/>
              <w:spacing w:after="120"/>
              <w:jc w:val="center"/>
              <w:rPr>
                <w:b/>
                <w:i/>
                <w:sz w:val="20"/>
                <w:szCs w:val="20"/>
                <w:lang w:val="es-AR"/>
              </w:rPr>
            </w:pPr>
            <w:r w:rsidRPr="002B4A93">
              <w:rPr>
                <w:rFonts w:ascii="Arial" w:hAnsi="Arial" w:cs="Arial"/>
                <w:b/>
                <w:noProof/>
                <w:sz w:val="14"/>
                <w:szCs w:val="14"/>
                <w:lang w:eastAsia="es-AR"/>
              </w:rPr>
              <w:drawing>
                <wp:anchor distT="0" distB="0" distL="114300" distR="114300" simplePos="0" relativeHeight="251660288" behindDoc="0" locked="0" layoutInCell="1" allowOverlap="1" wp14:anchorId="55A7A030" wp14:editId="1AB94787">
                  <wp:simplePos x="0" y="0"/>
                  <wp:positionH relativeFrom="column">
                    <wp:posOffset>377190</wp:posOffset>
                  </wp:positionH>
                  <wp:positionV relativeFrom="paragraph">
                    <wp:posOffset>38100</wp:posOffset>
                  </wp:positionV>
                  <wp:extent cx="1196975" cy="463550"/>
                  <wp:effectExtent l="0" t="0" r="0" b="0"/>
                  <wp:wrapSquare wrapText="bothSides"/>
                  <wp:docPr id="11764696"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tipo&#10;&#10;Descripción generada automáticamente"/>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8395" b="20620"/>
                          <a:stretch/>
                        </pic:blipFill>
                        <pic:spPr bwMode="auto">
                          <a:xfrm>
                            <a:off x="0" y="0"/>
                            <a:ext cx="1196975" cy="463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977" w:type="dxa"/>
          </w:tcPr>
          <w:p w14:paraId="2A420186" w14:textId="77777777" w:rsidR="00335EB6" w:rsidRDefault="00335EB6" w:rsidP="0046623D">
            <w:pPr>
              <w:widowControl w:val="0"/>
              <w:spacing w:after="120"/>
              <w:jc w:val="center"/>
              <w:rPr>
                <w:noProof/>
                <w:sz w:val="16"/>
                <w:szCs w:val="16"/>
              </w:rPr>
            </w:pPr>
            <w:r>
              <w:rPr>
                <w:noProof/>
              </w:rPr>
              <w:drawing>
                <wp:anchor distT="0" distB="0" distL="114300" distR="114300" simplePos="0" relativeHeight="251659264" behindDoc="0" locked="0" layoutInCell="1" allowOverlap="1" wp14:anchorId="50F9C3B5" wp14:editId="18D5E367">
                  <wp:simplePos x="0" y="0"/>
                  <wp:positionH relativeFrom="column">
                    <wp:posOffset>220345</wp:posOffset>
                  </wp:positionH>
                  <wp:positionV relativeFrom="paragraph">
                    <wp:posOffset>133350</wp:posOffset>
                  </wp:positionV>
                  <wp:extent cx="1310451" cy="348182"/>
                  <wp:effectExtent l="0" t="0" r="4445" b="0"/>
                  <wp:wrapSquare wrapText="bothSides"/>
                  <wp:docPr id="8"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0"/>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10451" cy="348182"/>
                          </a:xfrm>
                          <a:prstGeom prst="rect">
                            <a:avLst/>
                          </a:prstGeom>
                          <a:noFill/>
                          <a:ln>
                            <a:noFill/>
                          </a:ln>
                        </pic:spPr>
                      </pic:pic>
                    </a:graphicData>
                  </a:graphic>
                </wp:anchor>
              </w:drawing>
            </w:r>
          </w:p>
        </w:tc>
      </w:tr>
      <w:tr w:rsidR="00335EB6" w:rsidRPr="00942877" w14:paraId="4C00502E" w14:textId="77777777" w:rsidTr="0046623D">
        <w:trPr>
          <w:trHeight w:val="902"/>
          <w:jc w:val="center"/>
        </w:trPr>
        <w:tc>
          <w:tcPr>
            <w:tcW w:w="2977" w:type="dxa"/>
          </w:tcPr>
          <w:p w14:paraId="7BC53AFE" w14:textId="77777777" w:rsidR="00335EB6" w:rsidRPr="00942877" w:rsidRDefault="00335EB6" w:rsidP="0046623D">
            <w:pPr>
              <w:widowControl w:val="0"/>
              <w:spacing w:after="120"/>
              <w:jc w:val="center"/>
              <w:rPr>
                <w:b/>
                <w:sz w:val="20"/>
                <w:szCs w:val="20"/>
                <w:lang w:val="es-AR"/>
              </w:rPr>
            </w:pPr>
            <w:r w:rsidRPr="00942877">
              <w:rPr>
                <w:b/>
                <w:sz w:val="20"/>
                <w:szCs w:val="20"/>
                <w:lang w:val="es-AR"/>
              </w:rPr>
              <w:t>Banco BBVA Argentina S.A.</w:t>
            </w:r>
          </w:p>
          <w:p w14:paraId="58751C08" w14:textId="77777777" w:rsidR="00335EB6" w:rsidRPr="00942877" w:rsidRDefault="00335EB6" w:rsidP="0046623D">
            <w:pPr>
              <w:widowControl w:val="0"/>
              <w:jc w:val="center"/>
              <w:rPr>
                <w:sz w:val="16"/>
                <w:szCs w:val="16"/>
                <w:lang w:val="es-AR"/>
              </w:rPr>
            </w:pPr>
            <w:r w:rsidRPr="00942877">
              <w:rPr>
                <w:sz w:val="16"/>
                <w:szCs w:val="16"/>
                <w:lang w:val="es-AR"/>
              </w:rPr>
              <w:t xml:space="preserve">Agente de Liquidación y Compensación y </w:t>
            </w:r>
          </w:p>
          <w:p w14:paraId="1FC13F31" w14:textId="77777777" w:rsidR="00335EB6" w:rsidRPr="00942877" w:rsidRDefault="00335EB6" w:rsidP="0046623D">
            <w:pPr>
              <w:widowControl w:val="0"/>
              <w:jc w:val="center"/>
              <w:rPr>
                <w:sz w:val="16"/>
                <w:szCs w:val="16"/>
                <w:lang w:val="es-AR"/>
              </w:rPr>
            </w:pPr>
            <w:r w:rsidRPr="00942877">
              <w:rPr>
                <w:sz w:val="16"/>
                <w:szCs w:val="16"/>
                <w:lang w:val="es-AR"/>
              </w:rPr>
              <w:t xml:space="preserve">Agente de Negociación Integral </w:t>
            </w:r>
          </w:p>
          <w:p w14:paraId="53A1FDF0" w14:textId="77777777" w:rsidR="00335EB6" w:rsidRPr="00FA54B3" w:rsidRDefault="00335EB6" w:rsidP="0046623D">
            <w:pPr>
              <w:keepNext/>
              <w:spacing w:after="120"/>
              <w:ind w:right="-23"/>
              <w:jc w:val="center"/>
              <w:rPr>
                <w:b/>
                <w:color w:val="000000"/>
                <w:sz w:val="20"/>
                <w:szCs w:val="20"/>
              </w:rPr>
            </w:pPr>
            <w:r>
              <w:rPr>
                <w:sz w:val="16"/>
                <w:szCs w:val="16"/>
                <w:lang w:val="es-AR"/>
              </w:rPr>
              <w:t>M</w:t>
            </w:r>
            <w:r w:rsidRPr="00942877">
              <w:rPr>
                <w:sz w:val="16"/>
                <w:szCs w:val="16"/>
                <w:lang w:val="es-AR"/>
              </w:rPr>
              <w:t xml:space="preserve">atrícula </w:t>
            </w:r>
            <w:r>
              <w:rPr>
                <w:sz w:val="16"/>
                <w:szCs w:val="16"/>
                <w:lang w:val="es-AR"/>
              </w:rPr>
              <w:t>N°</w:t>
            </w:r>
            <w:r w:rsidRPr="00942877">
              <w:rPr>
                <w:sz w:val="16"/>
                <w:szCs w:val="16"/>
                <w:lang w:val="es-AR"/>
              </w:rPr>
              <w:t xml:space="preserve"> 42 de la CNV</w:t>
            </w:r>
          </w:p>
        </w:tc>
        <w:tc>
          <w:tcPr>
            <w:tcW w:w="2977" w:type="dxa"/>
          </w:tcPr>
          <w:p w14:paraId="0897B070" w14:textId="77777777" w:rsidR="00335EB6" w:rsidRPr="00FA54B3" w:rsidRDefault="00335EB6" w:rsidP="0046623D">
            <w:pPr>
              <w:keepNext/>
              <w:spacing w:after="120"/>
              <w:ind w:right="-23"/>
              <w:jc w:val="center"/>
              <w:rPr>
                <w:b/>
                <w:color w:val="000000"/>
                <w:sz w:val="20"/>
                <w:szCs w:val="20"/>
              </w:rPr>
            </w:pPr>
            <w:r w:rsidRPr="00FA54B3">
              <w:rPr>
                <w:b/>
                <w:color w:val="000000"/>
                <w:sz w:val="20"/>
                <w:szCs w:val="20"/>
              </w:rPr>
              <w:t>Allaria S.A.</w:t>
            </w:r>
          </w:p>
          <w:p w14:paraId="3E5880C5" w14:textId="77777777" w:rsidR="00335EB6" w:rsidRPr="00942877" w:rsidRDefault="00335EB6" w:rsidP="0046623D">
            <w:pPr>
              <w:widowControl w:val="0"/>
              <w:jc w:val="center"/>
              <w:rPr>
                <w:b/>
                <w:noProof/>
                <w:sz w:val="20"/>
                <w:szCs w:val="20"/>
                <w:lang w:val="es-AR" w:eastAsia="es-AR"/>
              </w:rPr>
            </w:pPr>
            <w:r w:rsidRPr="006859DB">
              <w:rPr>
                <w:sz w:val="16"/>
                <w:szCs w:val="16"/>
                <w:lang w:val="es-AR"/>
              </w:rPr>
              <w:t>Agente de Liquidación, Compensación y Agente de Negociación Integral. Matrícula N° 24 de la CNV</w:t>
            </w:r>
          </w:p>
        </w:tc>
        <w:tc>
          <w:tcPr>
            <w:tcW w:w="2977" w:type="dxa"/>
          </w:tcPr>
          <w:p w14:paraId="6450D55D" w14:textId="77777777" w:rsidR="00335EB6" w:rsidRDefault="00335EB6" w:rsidP="0046623D">
            <w:pPr>
              <w:autoSpaceDE w:val="0"/>
              <w:autoSpaceDN w:val="0"/>
              <w:adjustRightInd w:val="0"/>
              <w:spacing w:after="120"/>
              <w:jc w:val="center"/>
              <w:rPr>
                <w:b/>
                <w:color w:val="000000"/>
                <w:sz w:val="20"/>
                <w:szCs w:val="20"/>
              </w:rPr>
            </w:pPr>
            <w:proofErr w:type="spellStart"/>
            <w:r>
              <w:rPr>
                <w:b/>
                <w:color w:val="000000"/>
                <w:sz w:val="20"/>
                <w:szCs w:val="20"/>
              </w:rPr>
              <w:t>Balanz</w:t>
            </w:r>
            <w:proofErr w:type="spellEnd"/>
            <w:r>
              <w:rPr>
                <w:b/>
                <w:color w:val="000000"/>
                <w:sz w:val="20"/>
                <w:szCs w:val="20"/>
              </w:rPr>
              <w:t xml:space="preserve"> Capital Valores S.A.U.</w:t>
            </w:r>
          </w:p>
          <w:p w14:paraId="0C163BC9" w14:textId="77777777" w:rsidR="00335EB6" w:rsidRDefault="00335EB6" w:rsidP="0046623D">
            <w:pPr>
              <w:widowControl w:val="0"/>
              <w:spacing w:after="120"/>
              <w:jc w:val="center"/>
              <w:rPr>
                <w:b/>
                <w:sz w:val="20"/>
                <w:szCs w:val="20"/>
                <w:lang w:val="es-AR"/>
              </w:rPr>
            </w:pPr>
            <w:r w:rsidRPr="006859DB">
              <w:rPr>
                <w:sz w:val="16"/>
                <w:szCs w:val="16"/>
                <w:lang w:val="es-AR"/>
              </w:rPr>
              <w:t>Agente de Liquidación y Compensación y Agente de Negociación Integral. Matrícula N° 210 de la CNV</w:t>
            </w:r>
          </w:p>
        </w:tc>
      </w:tr>
    </w:tbl>
    <w:p w14:paraId="4310DD76" w14:textId="77777777" w:rsidR="00335EB6" w:rsidRDefault="00335EB6" w:rsidP="00335EB6">
      <w:pPr>
        <w:widowControl w:val="0"/>
        <w:spacing w:after="120"/>
        <w:jc w:val="center"/>
        <w:rPr>
          <w:b/>
          <w:sz w:val="20"/>
          <w:szCs w:val="20"/>
        </w:rPr>
      </w:pPr>
    </w:p>
    <w:tbl>
      <w:tblPr>
        <w:tblStyle w:val="Tablaconcuadrcula1"/>
        <w:tblW w:w="89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977"/>
        <w:gridCol w:w="2977"/>
        <w:gridCol w:w="2977"/>
      </w:tblGrid>
      <w:tr w:rsidR="00335EB6" w:rsidRPr="00FA54B3" w14:paraId="1B4F1552" w14:textId="77777777" w:rsidTr="0046623D">
        <w:trPr>
          <w:trHeight w:val="902"/>
          <w:jc w:val="center"/>
        </w:trPr>
        <w:tc>
          <w:tcPr>
            <w:tcW w:w="2977" w:type="dxa"/>
          </w:tcPr>
          <w:p w14:paraId="790CCF28" w14:textId="77777777" w:rsidR="00335EB6" w:rsidRPr="00942877" w:rsidRDefault="00335EB6" w:rsidP="0046623D">
            <w:pPr>
              <w:widowControl w:val="0"/>
              <w:spacing w:after="120"/>
              <w:jc w:val="center"/>
              <w:rPr>
                <w:b/>
                <w:sz w:val="20"/>
                <w:szCs w:val="20"/>
                <w:lang w:val="es-AR"/>
              </w:rPr>
            </w:pPr>
            <w:r>
              <w:rPr>
                <w:noProof/>
              </w:rPr>
              <w:drawing>
                <wp:anchor distT="0" distB="0" distL="114300" distR="114300" simplePos="0" relativeHeight="251661312" behindDoc="0" locked="0" layoutInCell="1" allowOverlap="1" wp14:anchorId="6081A86E" wp14:editId="69275EC6">
                  <wp:simplePos x="0" y="0"/>
                  <wp:positionH relativeFrom="column">
                    <wp:posOffset>24765</wp:posOffset>
                  </wp:positionH>
                  <wp:positionV relativeFrom="paragraph">
                    <wp:posOffset>104775</wp:posOffset>
                  </wp:positionV>
                  <wp:extent cx="1753235" cy="421005"/>
                  <wp:effectExtent l="0" t="0" r="0" b="0"/>
                  <wp:wrapSquare wrapText="bothSides"/>
                  <wp:docPr id="1748069695" name="Picture 1" descr="IOL invertir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L invertironlin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53235" cy="421005"/>
                          </a:xfrm>
                          <a:prstGeom prst="rect">
                            <a:avLst/>
                          </a:prstGeom>
                          <a:noFill/>
                          <a:ln>
                            <a:noFill/>
                          </a:ln>
                        </pic:spPr>
                      </pic:pic>
                    </a:graphicData>
                  </a:graphic>
                </wp:anchor>
              </w:drawing>
            </w:r>
          </w:p>
        </w:tc>
        <w:tc>
          <w:tcPr>
            <w:tcW w:w="2977" w:type="dxa"/>
            <w:vAlign w:val="center"/>
          </w:tcPr>
          <w:p w14:paraId="7B7422D2" w14:textId="77777777" w:rsidR="00335EB6" w:rsidRDefault="00335EB6" w:rsidP="0046623D">
            <w:pPr>
              <w:keepNext/>
              <w:spacing w:after="120"/>
              <w:ind w:right="-23"/>
              <w:jc w:val="center"/>
              <w:rPr>
                <w:rFonts w:ascii="Calibri" w:hAnsi="Calibri"/>
                <w:noProof/>
                <w:color w:val="1F497D"/>
              </w:rPr>
            </w:pPr>
            <w:r w:rsidRPr="009E43AD">
              <w:rPr>
                <w:noProof/>
                <w:color w:val="000000"/>
                <w:sz w:val="20"/>
                <w:szCs w:val="20"/>
                <w:lang w:eastAsia="es-AR"/>
              </w:rPr>
              <w:drawing>
                <wp:inline distT="0" distB="0" distL="0" distR="0" wp14:anchorId="266BB177" wp14:editId="0C83EC6A">
                  <wp:extent cx="1377315" cy="314325"/>
                  <wp:effectExtent l="0" t="0" r="0" b="9525"/>
                  <wp:docPr id="1538264470" name="Imagen 464099640">
                    <a:extLst xmlns:a="http://schemas.openxmlformats.org/drawingml/2006/main">
                      <a:ext uri="{FF2B5EF4-FFF2-40B4-BE49-F238E27FC236}">
                        <a16:creationId xmlns:a16="http://schemas.microsoft.com/office/drawing/2014/main" id="{3AB8961E-DBD2-2E9A-ED5F-C25B03D1D6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a:extLst>
                              <a:ext uri="{FF2B5EF4-FFF2-40B4-BE49-F238E27FC236}">
                                <a16:creationId xmlns:a16="http://schemas.microsoft.com/office/drawing/2014/main" id="{3AB8961E-DBD2-2E9A-ED5F-C25B03D1D6CC}"/>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77315" cy="314325"/>
                          </a:xfrm>
                          <a:prstGeom prst="rect">
                            <a:avLst/>
                          </a:prstGeom>
                        </pic:spPr>
                      </pic:pic>
                    </a:graphicData>
                  </a:graphic>
                </wp:inline>
              </w:drawing>
            </w:r>
          </w:p>
        </w:tc>
        <w:tc>
          <w:tcPr>
            <w:tcW w:w="2977" w:type="dxa"/>
          </w:tcPr>
          <w:p w14:paraId="3168C4B5" w14:textId="77777777" w:rsidR="00335EB6" w:rsidRPr="00FA54B3" w:rsidRDefault="00335EB6" w:rsidP="0046623D">
            <w:pPr>
              <w:keepNext/>
              <w:spacing w:after="120"/>
              <w:ind w:right="-23"/>
              <w:jc w:val="center"/>
              <w:rPr>
                <w:b/>
                <w:color w:val="000000"/>
                <w:sz w:val="20"/>
                <w:szCs w:val="20"/>
              </w:rPr>
            </w:pPr>
            <w:r w:rsidRPr="009E43AD">
              <w:rPr>
                <w:noProof/>
                <w:color w:val="000000"/>
                <w:sz w:val="20"/>
                <w:szCs w:val="20"/>
              </w:rPr>
              <w:drawing>
                <wp:anchor distT="0" distB="0" distL="114300" distR="114300" simplePos="0" relativeHeight="251662336" behindDoc="0" locked="0" layoutInCell="1" allowOverlap="1" wp14:anchorId="3C114B3E" wp14:editId="7E804DDB">
                  <wp:simplePos x="0" y="0"/>
                  <wp:positionH relativeFrom="column">
                    <wp:posOffset>254635</wp:posOffset>
                  </wp:positionH>
                  <wp:positionV relativeFrom="paragraph">
                    <wp:posOffset>142875</wp:posOffset>
                  </wp:positionV>
                  <wp:extent cx="1216550" cy="469840"/>
                  <wp:effectExtent l="0" t="0" r="3175" b="6985"/>
                  <wp:wrapSquare wrapText="bothSides"/>
                  <wp:docPr id="57012046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6182723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16550" cy="469840"/>
                          </a:xfrm>
                          <a:prstGeom prst="rect">
                            <a:avLst/>
                          </a:prstGeom>
                          <a:noFill/>
                          <a:ln>
                            <a:noFill/>
                          </a:ln>
                        </pic:spPr>
                      </pic:pic>
                    </a:graphicData>
                  </a:graphic>
                </wp:anchor>
              </w:drawing>
            </w:r>
          </w:p>
        </w:tc>
      </w:tr>
      <w:tr w:rsidR="00335EB6" w:rsidRPr="00FA54B3" w14:paraId="2AA9F7CA" w14:textId="77777777" w:rsidTr="0046623D">
        <w:trPr>
          <w:trHeight w:val="902"/>
          <w:jc w:val="center"/>
        </w:trPr>
        <w:tc>
          <w:tcPr>
            <w:tcW w:w="2977" w:type="dxa"/>
          </w:tcPr>
          <w:p w14:paraId="43F19BCB" w14:textId="77777777" w:rsidR="00335EB6" w:rsidRDefault="00335EB6" w:rsidP="0046623D">
            <w:pPr>
              <w:keepNext/>
              <w:spacing w:after="120"/>
              <w:ind w:right="-23"/>
              <w:jc w:val="center"/>
              <w:rPr>
                <w:b/>
                <w:color w:val="000000"/>
                <w:sz w:val="20"/>
                <w:szCs w:val="20"/>
              </w:rPr>
            </w:pPr>
            <w:proofErr w:type="spellStart"/>
            <w:r>
              <w:rPr>
                <w:b/>
                <w:color w:val="000000"/>
                <w:sz w:val="20"/>
                <w:szCs w:val="20"/>
              </w:rPr>
              <w:t>Invertironline</w:t>
            </w:r>
            <w:proofErr w:type="spellEnd"/>
            <w:r>
              <w:rPr>
                <w:b/>
                <w:color w:val="000000"/>
                <w:sz w:val="20"/>
                <w:szCs w:val="20"/>
              </w:rPr>
              <w:t xml:space="preserve"> S.A.U.</w:t>
            </w:r>
          </w:p>
          <w:p w14:paraId="26F28CA5" w14:textId="77777777" w:rsidR="00335EB6" w:rsidRPr="00942877" w:rsidRDefault="00335EB6" w:rsidP="0046623D">
            <w:pPr>
              <w:widowControl w:val="0"/>
              <w:spacing w:after="120"/>
              <w:jc w:val="center"/>
              <w:rPr>
                <w:b/>
                <w:sz w:val="20"/>
                <w:szCs w:val="20"/>
                <w:lang w:val="es-AR"/>
              </w:rPr>
            </w:pPr>
            <w:r w:rsidRPr="006859DB">
              <w:rPr>
                <w:sz w:val="16"/>
                <w:szCs w:val="16"/>
                <w:lang w:val="es-AR"/>
              </w:rPr>
              <w:t xml:space="preserve">Agente de Liquidación y Compensación y Agente de Negociación Integral. Matrícula N° </w:t>
            </w:r>
            <w:r>
              <w:rPr>
                <w:sz w:val="16"/>
                <w:szCs w:val="16"/>
                <w:lang w:val="es-AR"/>
              </w:rPr>
              <w:t>273</w:t>
            </w:r>
            <w:r w:rsidRPr="006859DB">
              <w:rPr>
                <w:sz w:val="16"/>
                <w:szCs w:val="16"/>
                <w:lang w:val="es-AR"/>
              </w:rPr>
              <w:t xml:space="preserve"> de la CNV</w:t>
            </w:r>
          </w:p>
        </w:tc>
        <w:tc>
          <w:tcPr>
            <w:tcW w:w="2977" w:type="dxa"/>
          </w:tcPr>
          <w:p w14:paraId="420A5DDF" w14:textId="77777777" w:rsidR="00335EB6" w:rsidRDefault="00335EB6" w:rsidP="0046623D">
            <w:pPr>
              <w:keepNext/>
              <w:spacing w:after="120"/>
              <w:ind w:right="-23"/>
              <w:jc w:val="center"/>
              <w:rPr>
                <w:b/>
                <w:color w:val="000000"/>
                <w:sz w:val="20"/>
                <w:szCs w:val="20"/>
              </w:rPr>
            </w:pPr>
            <w:proofErr w:type="spellStart"/>
            <w:r>
              <w:rPr>
                <w:b/>
                <w:color w:val="000000"/>
                <w:sz w:val="20"/>
                <w:szCs w:val="20"/>
              </w:rPr>
              <w:t>Latin</w:t>
            </w:r>
            <w:proofErr w:type="spellEnd"/>
            <w:r>
              <w:rPr>
                <w:b/>
                <w:color w:val="000000"/>
                <w:sz w:val="20"/>
                <w:szCs w:val="20"/>
              </w:rPr>
              <w:t xml:space="preserve"> </w:t>
            </w:r>
            <w:proofErr w:type="spellStart"/>
            <w:r>
              <w:rPr>
                <w:b/>
                <w:color w:val="000000"/>
                <w:sz w:val="20"/>
                <w:szCs w:val="20"/>
              </w:rPr>
              <w:t>Securities</w:t>
            </w:r>
            <w:proofErr w:type="spellEnd"/>
            <w:r>
              <w:rPr>
                <w:b/>
                <w:color w:val="000000"/>
                <w:sz w:val="20"/>
                <w:szCs w:val="20"/>
              </w:rPr>
              <w:t xml:space="preserve"> S.A.</w:t>
            </w:r>
          </w:p>
          <w:p w14:paraId="22C01C3D" w14:textId="77777777" w:rsidR="00335EB6" w:rsidRPr="00885B78" w:rsidRDefault="00335EB6" w:rsidP="0046623D">
            <w:pPr>
              <w:autoSpaceDE w:val="0"/>
              <w:autoSpaceDN w:val="0"/>
              <w:adjustRightInd w:val="0"/>
              <w:spacing w:after="120"/>
              <w:jc w:val="center"/>
              <w:rPr>
                <w:b/>
                <w:bCs/>
                <w:iCs/>
                <w:color w:val="000000"/>
                <w:sz w:val="20"/>
                <w:szCs w:val="20"/>
              </w:rPr>
            </w:pPr>
            <w:r w:rsidRPr="006859DB">
              <w:rPr>
                <w:sz w:val="16"/>
                <w:szCs w:val="16"/>
                <w:lang w:val="es-AR"/>
              </w:rPr>
              <w:t>Agente de Liquidación y Compensación y Agente de Negociación Integral. Matrícula N°</w:t>
            </w:r>
            <w:r>
              <w:rPr>
                <w:sz w:val="16"/>
                <w:szCs w:val="16"/>
                <w:lang w:val="es-AR"/>
              </w:rPr>
              <w:t>31</w:t>
            </w:r>
            <w:r w:rsidRPr="006859DB">
              <w:rPr>
                <w:sz w:val="16"/>
                <w:szCs w:val="16"/>
                <w:lang w:val="es-AR"/>
              </w:rPr>
              <w:t xml:space="preserve"> de la CNV</w:t>
            </w:r>
          </w:p>
        </w:tc>
        <w:tc>
          <w:tcPr>
            <w:tcW w:w="2977" w:type="dxa"/>
          </w:tcPr>
          <w:p w14:paraId="3F081D09" w14:textId="77777777" w:rsidR="00335EB6" w:rsidRDefault="00335EB6" w:rsidP="0046623D">
            <w:pPr>
              <w:autoSpaceDE w:val="0"/>
              <w:autoSpaceDN w:val="0"/>
              <w:adjustRightInd w:val="0"/>
              <w:spacing w:after="120"/>
              <w:jc w:val="center"/>
              <w:rPr>
                <w:b/>
                <w:bCs/>
                <w:iCs/>
                <w:color w:val="000000"/>
                <w:sz w:val="20"/>
                <w:szCs w:val="20"/>
              </w:rPr>
            </w:pPr>
            <w:r>
              <w:rPr>
                <w:b/>
                <w:bCs/>
                <w:iCs/>
                <w:color w:val="000000"/>
                <w:sz w:val="20"/>
                <w:szCs w:val="20"/>
              </w:rPr>
              <w:t>PP Inversiones S.A.</w:t>
            </w:r>
          </w:p>
          <w:p w14:paraId="354ECA0C" w14:textId="77777777" w:rsidR="00335EB6" w:rsidRPr="00FA54B3" w:rsidRDefault="00335EB6" w:rsidP="0046623D">
            <w:pPr>
              <w:widowControl w:val="0"/>
              <w:jc w:val="center"/>
              <w:rPr>
                <w:b/>
                <w:color w:val="000000"/>
                <w:sz w:val="20"/>
                <w:szCs w:val="20"/>
              </w:rPr>
            </w:pPr>
            <w:r w:rsidRPr="00DA74CD">
              <w:rPr>
                <w:sz w:val="16"/>
                <w:szCs w:val="16"/>
                <w:lang w:val="es-AR"/>
              </w:rPr>
              <w:t>Agente de Liquidación y Compensación</w:t>
            </w:r>
            <w:r>
              <w:rPr>
                <w:sz w:val="16"/>
                <w:szCs w:val="16"/>
                <w:lang w:val="es-AR"/>
              </w:rPr>
              <w:t xml:space="preserve"> Integral.</w:t>
            </w:r>
            <w:r w:rsidRPr="00DA74CD">
              <w:rPr>
                <w:sz w:val="16"/>
                <w:szCs w:val="16"/>
                <w:lang w:val="es-AR"/>
              </w:rPr>
              <w:t xml:space="preserve"> Matrícula N° </w:t>
            </w:r>
            <w:r>
              <w:rPr>
                <w:sz w:val="16"/>
                <w:szCs w:val="16"/>
                <w:lang w:val="es-AR"/>
              </w:rPr>
              <w:t>686</w:t>
            </w:r>
            <w:r w:rsidRPr="00DA74CD">
              <w:rPr>
                <w:sz w:val="16"/>
                <w:szCs w:val="16"/>
                <w:lang w:val="es-AR"/>
              </w:rPr>
              <w:t xml:space="preserve"> de la CNV</w:t>
            </w:r>
          </w:p>
        </w:tc>
      </w:tr>
    </w:tbl>
    <w:p w14:paraId="36763255" w14:textId="77777777" w:rsidR="00C17067" w:rsidRDefault="00C17067" w:rsidP="003317D9">
      <w:pPr>
        <w:spacing w:before="120"/>
        <w:ind w:left="-567" w:right="-660"/>
        <w:jc w:val="center"/>
        <w:rPr>
          <w:sz w:val="20"/>
          <w:szCs w:val="20"/>
          <w:lang w:val="es-AR"/>
        </w:rPr>
      </w:pPr>
    </w:p>
    <w:p w14:paraId="702538B8" w14:textId="67281956" w:rsidR="007A60FD" w:rsidRDefault="00D67BCA" w:rsidP="003317D9">
      <w:pPr>
        <w:spacing w:before="120"/>
        <w:ind w:left="-567" w:right="-660"/>
        <w:jc w:val="center"/>
        <w:rPr>
          <w:sz w:val="20"/>
          <w:szCs w:val="20"/>
          <w:lang w:val="es-AR"/>
        </w:rPr>
      </w:pPr>
      <w:r w:rsidRPr="00507577">
        <w:rPr>
          <w:sz w:val="20"/>
          <w:szCs w:val="20"/>
          <w:lang w:val="es-AR"/>
        </w:rPr>
        <w:t>La fecha de este Aviso de Suscripción es</w:t>
      </w:r>
      <w:r w:rsidR="00970E54">
        <w:rPr>
          <w:sz w:val="20"/>
          <w:szCs w:val="20"/>
          <w:lang w:val="es-AR"/>
        </w:rPr>
        <w:t xml:space="preserve"> </w:t>
      </w:r>
      <w:r w:rsidR="00ED3F8A">
        <w:rPr>
          <w:sz w:val="20"/>
          <w:szCs w:val="20"/>
          <w:lang w:val="es-AR"/>
        </w:rPr>
        <w:t>[___]</w:t>
      </w:r>
      <w:r w:rsidR="00ED3F8A">
        <w:rPr>
          <w:rStyle w:val="FootnoteReference"/>
          <w:sz w:val="20"/>
          <w:szCs w:val="20"/>
          <w:lang w:val="es-AR"/>
        </w:rPr>
        <w:footnoteReference w:id="3"/>
      </w:r>
    </w:p>
    <w:p w14:paraId="6A292835" w14:textId="77777777" w:rsidR="0046276E" w:rsidRDefault="0046276E" w:rsidP="003317D9">
      <w:pPr>
        <w:spacing w:before="120"/>
        <w:ind w:left="-567" w:right="-660"/>
        <w:jc w:val="center"/>
        <w:rPr>
          <w:sz w:val="20"/>
          <w:szCs w:val="20"/>
          <w:lang w:val="es-AR"/>
        </w:rPr>
      </w:pPr>
    </w:p>
    <w:tbl>
      <w:tblPr>
        <w:tblpPr w:leftFromText="141" w:rightFromText="141" w:vertAnchor="text" w:tblpXSpec="center" w:tblpY="1"/>
        <w:tblOverlap w:val="never"/>
        <w:tblW w:w="0" w:type="auto"/>
        <w:tblLook w:val="01E0" w:firstRow="1" w:lastRow="1" w:firstColumn="1" w:lastColumn="1" w:noHBand="0" w:noVBand="0"/>
      </w:tblPr>
      <w:tblGrid>
        <w:gridCol w:w="4322"/>
      </w:tblGrid>
      <w:tr w:rsidR="00970E54" w:rsidRPr="00957F1D" w14:paraId="173ACB35" w14:textId="77777777" w:rsidTr="0032329A">
        <w:tc>
          <w:tcPr>
            <w:tcW w:w="4322" w:type="dxa"/>
          </w:tcPr>
          <w:p w14:paraId="2E809E04" w14:textId="0860D635" w:rsidR="00970E54" w:rsidRPr="00957F1D" w:rsidRDefault="00ED3F8A" w:rsidP="0032329A">
            <w:pPr>
              <w:spacing w:after="120"/>
              <w:jc w:val="center"/>
              <w:rPr>
                <w:sz w:val="22"/>
                <w:szCs w:val="22"/>
                <w:lang w:val="es-MX"/>
              </w:rPr>
            </w:pPr>
            <w:r>
              <w:rPr>
                <w:sz w:val="22"/>
                <w:szCs w:val="22"/>
                <w:lang w:val="es-MX"/>
              </w:rPr>
              <w:t>[___]</w:t>
            </w:r>
          </w:p>
        </w:tc>
      </w:tr>
      <w:tr w:rsidR="00970E54" w:rsidRPr="00957F1D" w14:paraId="74DC2BF1" w14:textId="77777777" w:rsidTr="0032329A">
        <w:tc>
          <w:tcPr>
            <w:tcW w:w="4322" w:type="dxa"/>
          </w:tcPr>
          <w:p w14:paraId="45927C3B" w14:textId="77777777" w:rsidR="00970E54" w:rsidRPr="00957F1D" w:rsidRDefault="00970E54" w:rsidP="0032329A">
            <w:pPr>
              <w:spacing w:after="120"/>
              <w:jc w:val="center"/>
              <w:rPr>
                <w:sz w:val="22"/>
                <w:szCs w:val="22"/>
                <w:lang w:val="es-AR"/>
              </w:rPr>
            </w:pPr>
            <w:r w:rsidRPr="00957F1D">
              <w:rPr>
                <w:sz w:val="22"/>
                <w:szCs w:val="22"/>
                <w:lang w:val="es-AR"/>
              </w:rPr>
              <w:t>Adolfo Cesar Martinez Luque</w:t>
            </w:r>
          </w:p>
          <w:p w14:paraId="1FB4C451" w14:textId="77777777" w:rsidR="00970E54" w:rsidRPr="00957F1D" w:rsidRDefault="00970E54" w:rsidP="0032329A">
            <w:pPr>
              <w:spacing w:after="120"/>
              <w:jc w:val="center"/>
              <w:rPr>
                <w:sz w:val="22"/>
                <w:szCs w:val="22"/>
                <w:lang w:val="es-MX"/>
              </w:rPr>
            </w:pPr>
            <w:r w:rsidRPr="00957F1D">
              <w:rPr>
                <w:sz w:val="22"/>
                <w:szCs w:val="22"/>
                <w:lang w:val="es-MX"/>
              </w:rPr>
              <w:lastRenderedPageBreak/>
              <w:t>Subdelegado</w:t>
            </w:r>
          </w:p>
        </w:tc>
      </w:tr>
    </w:tbl>
    <w:p w14:paraId="112A7809" w14:textId="471F23F6" w:rsidR="00C14E1C" w:rsidRPr="00461079" w:rsidRDefault="00C14E1C" w:rsidP="007F4D6F">
      <w:pPr>
        <w:spacing w:before="120"/>
        <w:jc w:val="center"/>
        <w:rPr>
          <w:sz w:val="20"/>
          <w:szCs w:val="20"/>
        </w:rPr>
      </w:pPr>
    </w:p>
    <w:sectPr w:rsidR="00C14E1C" w:rsidRPr="00461079" w:rsidSect="005B02E1">
      <w:footerReference w:type="even" r:id="rId23"/>
      <w:pgSz w:w="11907" w:h="16839" w:code="9"/>
      <w:pgMar w:top="1417" w:right="1701" w:bottom="1417"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E4CED" w14:textId="77777777" w:rsidR="00C76053" w:rsidRDefault="00C76053">
      <w:r>
        <w:separator/>
      </w:r>
    </w:p>
  </w:endnote>
  <w:endnote w:type="continuationSeparator" w:id="0">
    <w:p w14:paraId="68A2CAFA" w14:textId="77777777" w:rsidR="00C76053" w:rsidRDefault="00C76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onaco">
    <w:altName w:val="Courier New"/>
    <w:panose1 w:val="00000000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4D24D" w14:textId="77777777" w:rsidR="008558F0" w:rsidRDefault="008558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24ABB6" w14:textId="77777777" w:rsidR="008558F0" w:rsidRDefault="00855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CC1C3" w14:textId="77777777" w:rsidR="00C76053" w:rsidRDefault="00C76053">
      <w:r>
        <w:separator/>
      </w:r>
    </w:p>
  </w:footnote>
  <w:footnote w:type="continuationSeparator" w:id="0">
    <w:p w14:paraId="4014933E" w14:textId="77777777" w:rsidR="00C76053" w:rsidRDefault="00C76053">
      <w:r>
        <w:continuationSeparator/>
      </w:r>
    </w:p>
  </w:footnote>
  <w:footnote w:id="1">
    <w:p w14:paraId="667B72DE" w14:textId="7C7FEECE" w:rsidR="00364CCD" w:rsidRPr="00141955" w:rsidRDefault="00364CCD">
      <w:pPr>
        <w:pStyle w:val="FootnoteText"/>
        <w:rPr>
          <w:lang w:val="es-AR"/>
        </w:rPr>
      </w:pPr>
      <w:r>
        <w:rPr>
          <w:rStyle w:val="FootnoteReference"/>
        </w:rPr>
        <w:footnoteRef/>
      </w:r>
      <w:r>
        <w:t xml:space="preserve"> </w:t>
      </w:r>
      <w:r>
        <w:rPr>
          <w:lang w:val="es-AR"/>
        </w:rPr>
        <w:t>Fecha sujeta a actualización</w:t>
      </w:r>
    </w:p>
  </w:footnote>
  <w:footnote w:id="2">
    <w:p w14:paraId="7BDAD58B" w14:textId="050145C4" w:rsidR="00335EB6" w:rsidRPr="00A36E7E" w:rsidRDefault="00335EB6">
      <w:pPr>
        <w:pStyle w:val="FootnoteText"/>
        <w:rPr>
          <w:lang w:val="es-AR"/>
        </w:rPr>
      </w:pPr>
      <w:r>
        <w:rPr>
          <w:rStyle w:val="FootnoteReference"/>
        </w:rPr>
        <w:footnoteRef/>
      </w:r>
      <w:r>
        <w:t xml:space="preserve"> </w:t>
      </w:r>
      <w:r>
        <w:rPr>
          <w:lang w:val="es-AR"/>
        </w:rPr>
        <w:t>Colocadores, por favor revisar información, y confirmarla o modificarla en su caso.</w:t>
      </w:r>
    </w:p>
  </w:footnote>
  <w:footnote w:id="3">
    <w:p w14:paraId="3A926975" w14:textId="6D81B3E7" w:rsidR="00ED3F8A" w:rsidRPr="00141955" w:rsidRDefault="00ED3F8A">
      <w:pPr>
        <w:pStyle w:val="FootnoteText"/>
        <w:rPr>
          <w:lang w:val="es-AR"/>
        </w:rPr>
      </w:pPr>
      <w:r>
        <w:rPr>
          <w:rStyle w:val="FootnoteReference"/>
        </w:rPr>
        <w:footnoteRef/>
      </w:r>
      <w:r>
        <w:t xml:space="preserve"> </w:t>
      </w:r>
      <w:r>
        <w:rPr>
          <w:lang w:val="es-AR"/>
        </w:rPr>
        <w:t>Fecha sujeta a confirmación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AD7"/>
    <w:multiLevelType w:val="hybridMultilevel"/>
    <w:tmpl w:val="7CAC4C98"/>
    <w:lvl w:ilvl="0" w:tplc="D4289282">
      <w:start w:val="1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AB1B29"/>
    <w:multiLevelType w:val="hybridMultilevel"/>
    <w:tmpl w:val="4520664C"/>
    <w:lvl w:ilvl="0" w:tplc="11A2BDC2">
      <w:start w:val="1"/>
      <w:numFmt w:val="decimal"/>
      <w:lvlText w:val="%1)"/>
      <w:lvlJc w:val="left"/>
      <w:pPr>
        <w:ind w:left="720" w:hanging="360"/>
      </w:pPr>
      <w:rPr>
        <w:rFonts w:hint="default"/>
        <w:b/>
        <w:bCs/>
        <w:u w:val="none"/>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41376F5"/>
    <w:multiLevelType w:val="multilevel"/>
    <w:tmpl w:val="9412FB50"/>
    <w:lvl w:ilvl="0">
      <w:start w:val="1"/>
      <w:numFmt w:val="none"/>
      <w:pStyle w:val="Heading1"/>
      <w:lvlText w:val="Libro %1:  "/>
      <w:lvlJc w:val="left"/>
      <w:pPr>
        <w:tabs>
          <w:tab w:val="num" w:pos="3402"/>
        </w:tabs>
        <w:ind w:left="3402" w:hanging="3402"/>
      </w:pPr>
      <w:rPr>
        <w:rFonts w:hint="default"/>
      </w:rPr>
    </w:lvl>
    <w:lvl w:ilvl="1">
      <w:start w:val="1"/>
      <w:numFmt w:val="upperRoman"/>
      <w:lvlRestart w:val="0"/>
      <w:pStyle w:val="Heading2"/>
      <w:lvlText w:val="Capítulo %2: "/>
      <w:lvlJc w:val="left"/>
      <w:pPr>
        <w:tabs>
          <w:tab w:val="num" w:pos="3960"/>
        </w:tabs>
        <w:ind w:left="3119" w:hanging="3119"/>
      </w:pPr>
      <w:rPr>
        <w:rFonts w:hint="default"/>
      </w:rPr>
    </w:lvl>
    <w:lvl w:ilvl="2">
      <w:start w:val="1"/>
      <w:numFmt w:val="decimal"/>
      <w:pStyle w:val="Heading3"/>
      <w:lvlText w:val="%1%2.%3"/>
      <w:lvlJc w:val="left"/>
      <w:pPr>
        <w:tabs>
          <w:tab w:val="num" w:pos="1418"/>
        </w:tabs>
        <w:ind w:left="1418" w:hanging="1418"/>
      </w:pPr>
      <w:rPr>
        <w:rFonts w:hint="default"/>
        <w:u w:val="none"/>
      </w:rPr>
    </w:lvl>
    <w:lvl w:ilvl="3">
      <w:start w:val="1"/>
      <w:numFmt w:val="decimal"/>
      <w:pStyle w:val="Heading4"/>
      <w:lvlText w:val="%1%2.%3.%4"/>
      <w:lvlJc w:val="left"/>
      <w:pPr>
        <w:tabs>
          <w:tab w:val="num" w:pos="1800"/>
        </w:tabs>
        <w:ind w:left="1418" w:hanging="1418"/>
      </w:pPr>
      <w:rPr>
        <w:rFonts w:hint="default"/>
      </w:rPr>
    </w:lvl>
    <w:lvl w:ilvl="4">
      <w:start w:val="1"/>
      <w:numFmt w:val="decimal"/>
      <w:pStyle w:val="Heading5"/>
      <w:lvlText w:val="%1%2.%3.%4.%5"/>
      <w:lvlJc w:val="left"/>
      <w:pPr>
        <w:tabs>
          <w:tab w:val="num" w:pos="2160"/>
        </w:tabs>
        <w:ind w:left="1418" w:hanging="1418"/>
      </w:pPr>
      <w:rPr>
        <w:rFonts w:hint="default"/>
      </w:rPr>
    </w:lvl>
    <w:lvl w:ilvl="5">
      <w:start w:val="1"/>
      <w:numFmt w:val="decimal"/>
      <w:lvlText w:val="%1.%2.%3.%4.%5.%6"/>
      <w:lvlJc w:val="left"/>
      <w:pPr>
        <w:tabs>
          <w:tab w:val="num" w:pos="180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2160"/>
        </w:tabs>
        <w:ind w:left="1440" w:hanging="1440"/>
      </w:pPr>
      <w:rPr>
        <w:rFonts w:hint="default"/>
      </w:rPr>
    </w:lvl>
    <w:lvl w:ilvl="8">
      <w:start w:val="1"/>
      <w:numFmt w:val="decimal"/>
      <w:lvlText w:val="%1.%2.%3.%4.%5.%6.%7.%8.%9"/>
      <w:lvlJc w:val="left"/>
      <w:pPr>
        <w:tabs>
          <w:tab w:val="num" w:pos="2520"/>
        </w:tabs>
        <w:ind w:left="1584" w:hanging="1584"/>
      </w:pPr>
      <w:rPr>
        <w:rFonts w:hint="default"/>
      </w:rPr>
    </w:lvl>
  </w:abstractNum>
  <w:abstractNum w:abstractNumId="3" w15:restartNumberingAfterBreak="0">
    <w:nsid w:val="0F765BF3"/>
    <w:multiLevelType w:val="hybridMultilevel"/>
    <w:tmpl w:val="63F6593E"/>
    <w:lvl w:ilvl="0" w:tplc="14382680">
      <w:start w:val="1"/>
      <w:numFmt w:val="decimal"/>
      <w:lvlText w:val="%1)"/>
      <w:lvlJc w:val="left"/>
      <w:pPr>
        <w:ind w:left="720" w:hanging="360"/>
      </w:pPr>
      <w:rPr>
        <w:b w:val="0"/>
      </w:rPr>
    </w:lvl>
    <w:lvl w:ilvl="1" w:tplc="E078E112">
      <w:start w:val="1"/>
      <w:numFmt w:val="lowerRoman"/>
      <w:lvlText w:val="(%2)"/>
      <w:lvlJc w:val="left"/>
      <w:pPr>
        <w:ind w:left="1800" w:hanging="72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4" w15:restartNumberingAfterBreak="0">
    <w:nsid w:val="185350EF"/>
    <w:multiLevelType w:val="hybridMultilevel"/>
    <w:tmpl w:val="85B858CA"/>
    <w:lvl w:ilvl="0" w:tplc="9EA0F50A">
      <w:start w:val="1"/>
      <w:numFmt w:val="decimal"/>
      <w:lvlText w:val="%1)"/>
      <w:lvlJc w:val="left"/>
      <w:pPr>
        <w:ind w:left="720" w:hanging="360"/>
      </w:pPr>
      <w:rPr>
        <w:rFonts w:hint="default"/>
        <w:b/>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B432279"/>
    <w:multiLevelType w:val="hybridMultilevel"/>
    <w:tmpl w:val="D69C9B60"/>
    <w:lvl w:ilvl="0" w:tplc="2DE4CADC">
      <w:start w:val="1"/>
      <w:numFmt w:val="decimal"/>
      <w:lvlText w:val="%1)"/>
      <w:lvlJc w:val="left"/>
      <w:pPr>
        <w:tabs>
          <w:tab w:val="num" w:pos="720"/>
        </w:tabs>
        <w:ind w:left="720" w:hanging="360"/>
      </w:pPr>
      <w:rPr>
        <w:rFonts w:ascii="Times New Roman" w:hAnsi="Times New Roman" w:cs="Times New Roman" w:hint="default"/>
        <w:b/>
        <w:i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DAA484B"/>
    <w:multiLevelType w:val="hybridMultilevel"/>
    <w:tmpl w:val="BA3E66FA"/>
    <w:lvl w:ilvl="0" w:tplc="FFFFFFFF">
      <w:start w:val="1"/>
      <w:numFmt w:val="lowerRoman"/>
      <w:pStyle w:val="BULLETS5"/>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C5661AE"/>
    <w:multiLevelType w:val="hybridMultilevel"/>
    <w:tmpl w:val="B70E1C48"/>
    <w:lvl w:ilvl="0" w:tplc="FFFFFFFF">
      <w:start w:val="1"/>
      <w:numFmt w:val="decimal"/>
      <w:lvlText w:val="%1)"/>
      <w:lvlJc w:val="left"/>
      <w:pPr>
        <w:tabs>
          <w:tab w:val="num" w:pos="720"/>
        </w:tabs>
        <w:ind w:left="720" w:hanging="360"/>
      </w:pPr>
      <w:rPr>
        <w:rFonts w:hint="default"/>
        <w:b/>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D5A3447"/>
    <w:multiLevelType w:val="hybridMultilevel"/>
    <w:tmpl w:val="6232AD9E"/>
    <w:lvl w:ilvl="0" w:tplc="20AA7348">
      <w:start w:val="1"/>
      <w:numFmt w:val="decimal"/>
      <w:lvlText w:val="%1)"/>
      <w:lvlJc w:val="left"/>
      <w:pPr>
        <w:ind w:left="153" w:hanging="360"/>
      </w:pPr>
      <w:rPr>
        <w:b/>
        <w:bCs/>
      </w:rPr>
    </w:lvl>
    <w:lvl w:ilvl="1" w:tplc="2C0A0019" w:tentative="1">
      <w:start w:val="1"/>
      <w:numFmt w:val="lowerLetter"/>
      <w:lvlText w:val="%2."/>
      <w:lvlJc w:val="left"/>
      <w:pPr>
        <w:ind w:left="873" w:hanging="360"/>
      </w:pPr>
    </w:lvl>
    <w:lvl w:ilvl="2" w:tplc="2C0A001B" w:tentative="1">
      <w:start w:val="1"/>
      <w:numFmt w:val="lowerRoman"/>
      <w:lvlText w:val="%3."/>
      <w:lvlJc w:val="right"/>
      <w:pPr>
        <w:ind w:left="1593" w:hanging="180"/>
      </w:pPr>
    </w:lvl>
    <w:lvl w:ilvl="3" w:tplc="2C0A000F" w:tentative="1">
      <w:start w:val="1"/>
      <w:numFmt w:val="decimal"/>
      <w:lvlText w:val="%4."/>
      <w:lvlJc w:val="left"/>
      <w:pPr>
        <w:ind w:left="2313" w:hanging="360"/>
      </w:pPr>
    </w:lvl>
    <w:lvl w:ilvl="4" w:tplc="2C0A0019" w:tentative="1">
      <w:start w:val="1"/>
      <w:numFmt w:val="lowerLetter"/>
      <w:lvlText w:val="%5."/>
      <w:lvlJc w:val="left"/>
      <w:pPr>
        <w:ind w:left="3033" w:hanging="360"/>
      </w:pPr>
    </w:lvl>
    <w:lvl w:ilvl="5" w:tplc="2C0A001B" w:tentative="1">
      <w:start w:val="1"/>
      <w:numFmt w:val="lowerRoman"/>
      <w:lvlText w:val="%6."/>
      <w:lvlJc w:val="right"/>
      <w:pPr>
        <w:ind w:left="3753" w:hanging="180"/>
      </w:pPr>
    </w:lvl>
    <w:lvl w:ilvl="6" w:tplc="2C0A000F" w:tentative="1">
      <w:start w:val="1"/>
      <w:numFmt w:val="decimal"/>
      <w:lvlText w:val="%7."/>
      <w:lvlJc w:val="left"/>
      <w:pPr>
        <w:ind w:left="4473" w:hanging="360"/>
      </w:pPr>
    </w:lvl>
    <w:lvl w:ilvl="7" w:tplc="2C0A0019" w:tentative="1">
      <w:start w:val="1"/>
      <w:numFmt w:val="lowerLetter"/>
      <w:lvlText w:val="%8."/>
      <w:lvlJc w:val="left"/>
      <w:pPr>
        <w:ind w:left="5193" w:hanging="360"/>
      </w:pPr>
    </w:lvl>
    <w:lvl w:ilvl="8" w:tplc="2C0A001B" w:tentative="1">
      <w:start w:val="1"/>
      <w:numFmt w:val="lowerRoman"/>
      <w:lvlText w:val="%9."/>
      <w:lvlJc w:val="right"/>
      <w:pPr>
        <w:ind w:left="5913" w:hanging="180"/>
      </w:pPr>
    </w:lvl>
  </w:abstractNum>
  <w:abstractNum w:abstractNumId="9" w15:restartNumberingAfterBreak="0">
    <w:nsid w:val="4E184586"/>
    <w:multiLevelType w:val="hybridMultilevel"/>
    <w:tmpl w:val="D69C9B60"/>
    <w:lvl w:ilvl="0" w:tplc="FFFFFFFF">
      <w:start w:val="1"/>
      <w:numFmt w:val="decimal"/>
      <w:lvlText w:val="%1)"/>
      <w:lvlJc w:val="left"/>
      <w:pPr>
        <w:tabs>
          <w:tab w:val="num" w:pos="720"/>
        </w:tabs>
        <w:ind w:left="720" w:hanging="360"/>
      </w:pPr>
      <w:rPr>
        <w:rFonts w:ascii="Times New Roman" w:hAnsi="Times New Roman" w:cs="Times New Roman" w:hint="default"/>
        <w:b/>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E925657"/>
    <w:multiLevelType w:val="hybridMultilevel"/>
    <w:tmpl w:val="CE72759E"/>
    <w:lvl w:ilvl="0" w:tplc="0409001B">
      <w:start w:val="1"/>
      <w:numFmt w:val="lowerRoman"/>
      <w:lvlText w:val="%1."/>
      <w:lvlJc w:val="right"/>
      <w:pPr>
        <w:tabs>
          <w:tab w:val="num" w:pos="720"/>
        </w:tabs>
        <w:ind w:left="720" w:hanging="360"/>
      </w:pPr>
      <w:rPr>
        <w:rFonts w:hint="default"/>
        <w:b/>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0636F00"/>
    <w:multiLevelType w:val="hybridMultilevel"/>
    <w:tmpl w:val="CD04D1FE"/>
    <w:lvl w:ilvl="0" w:tplc="900EF124">
      <w:start w:val="16"/>
      <w:numFmt w:val="decimal"/>
      <w:lvlText w:val="%1)"/>
      <w:lvlJc w:val="left"/>
      <w:pPr>
        <w:ind w:left="720" w:hanging="360"/>
      </w:pPr>
      <w:rPr>
        <w:rFonts w:hint="default"/>
        <w:b/>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5500168"/>
    <w:multiLevelType w:val="multilevel"/>
    <w:tmpl w:val="DB76F698"/>
    <w:lvl w:ilvl="0">
      <w:start w:val="1"/>
      <w:numFmt w:val="lowerLetter"/>
      <w:lvlText w:val="(%1)"/>
      <w:legacy w:legacy="1" w:legacySpace="120" w:legacyIndent="405"/>
      <w:lvlJc w:val="left"/>
      <w:pPr>
        <w:ind w:left="405" w:hanging="405"/>
      </w:pPr>
    </w:lvl>
    <w:lvl w:ilvl="1">
      <w:start w:val="1"/>
      <w:numFmt w:val="lowerLetter"/>
      <w:lvlText w:val="(%2)"/>
      <w:legacy w:legacy="1" w:legacySpace="120" w:legacyIndent="360"/>
      <w:lvlJc w:val="left"/>
      <w:pPr>
        <w:ind w:left="765" w:hanging="360"/>
      </w:pPr>
    </w:lvl>
    <w:lvl w:ilvl="2">
      <w:start w:val="1"/>
      <w:numFmt w:val="lowerRoman"/>
      <w:lvlText w:val="%3."/>
      <w:legacy w:legacy="1" w:legacySpace="120" w:legacyIndent="180"/>
      <w:lvlJc w:val="left"/>
      <w:pPr>
        <w:ind w:left="945" w:hanging="180"/>
      </w:pPr>
    </w:lvl>
    <w:lvl w:ilvl="3">
      <w:start w:val="1"/>
      <w:numFmt w:val="decimal"/>
      <w:lvlText w:val="%4."/>
      <w:legacy w:legacy="1" w:legacySpace="120" w:legacyIndent="360"/>
      <w:lvlJc w:val="left"/>
      <w:pPr>
        <w:ind w:left="1305" w:hanging="360"/>
      </w:pPr>
    </w:lvl>
    <w:lvl w:ilvl="4">
      <w:start w:val="1"/>
      <w:numFmt w:val="lowerLetter"/>
      <w:lvlText w:val="%5."/>
      <w:legacy w:legacy="1" w:legacySpace="120" w:legacyIndent="360"/>
      <w:lvlJc w:val="left"/>
      <w:pPr>
        <w:ind w:left="1665" w:hanging="360"/>
      </w:pPr>
    </w:lvl>
    <w:lvl w:ilvl="5">
      <w:start w:val="1"/>
      <w:numFmt w:val="lowerRoman"/>
      <w:lvlText w:val="%6."/>
      <w:legacy w:legacy="1" w:legacySpace="120" w:legacyIndent="180"/>
      <w:lvlJc w:val="left"/>
      <w:pPr>
        <w:ind w:left="1845" w:hanging="180"/>
      </w:pPr>
    </w:lvl>
    <w:lvl w:ilvl="6">
      <w:start w:val="1"/>
      <w:numFmt w:val="decimal"/>
      <w:lvlText w:val="%7."/>
      <w:legacy w:legacy="1" w:legacySpace="120" w:legacyIndent="360"/>
      <w:lvlJc w:val="left"/>
      <w:pPr>
        <w:ind w:left="2205" w:hanging="360"/>
      </w:pPr>
    </w:lvl>
    <w:lvl w:ilvl="7">
      <w:start w:val="1"/>
      <w:numFmt w:val="lowerLetter"/>
      <w:lvlText w:val="%8."/>
      <w:legacy w:legacy="1" w:legacySpace="120" w:legacyIndent="360"/>
      <w:lvlJc w:val="left"/>
      <w:pPr>
        <w:ind w:left="2565" w:hanging="360"/>
      </w:pPr>
    </w:lvl>
    <w:lvl w:ilvl="8">
      <w:start w:val="1"/>
      <w:numFmt w:val="lowerRoman"/>
      <w:lvlText w:val="%9."/>
      <w:legacy w:legacy="1" w:legacySpace="120" w:legacyIndent="180"/>
      <w:lvlJc w:val="left"/>
      <w:pPr>
        <w:ind w:left="2745" w:hanging="180"/>
      </w:pPr>
    </w:lvl>
  </w:abstractNum>
  <w:abstractNum w:abstractNumId="13" w15:restartNumberingAfterBreak="0">
    <w:nsid w:val="67086CDA"/>
    <w:multiLevelType w:val="hybridMultilevel"/>
    <w:tmpl w:val="3A24EE6C"/>
    <w:lvl w:ilvl="0" w:tplc="5D90C500">
      <w:start w:val="17"/>
      <w:numFmt w:val="decimal"/>
      <w:lvlText w:val="%1)"/>
      <w:lvlJc w:val="left"/>
      <w:pPr>
        <w:ind w:left="1080" w:hanging="360"/>
      </w:pPr>
      <w:rPr>
        <w:rFonts w:hint="default"/>
        <w:b/>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6C0B1FF2"/>
    <w:multiLevelType w:val="hybridMultilevel"/>
    <w:tmpl w:val="30D02894"/>
    <w:lvl w:ilvl="0" w:tplc="833AD120">
      <w:start w:val="1"/>
      <w:numFmt w:val="lowerRoman"/>
      <w:lvlText w:val="%1."/>
      <w:lvlJc w:val="left"/>
      <w:pPr>
        <w:ind w:left="153" w:hanging="720"/>
      </w:pPr>
      <w:rPr>
        <w:rFonts w:hint="default"/>
      </w:rPr>
    </w:lvl>
    <w:lvl w:ilvl="1" w:tplc="2C0A0019" w:tentative="1">
      <w:start w:val="1"/>
      <w:numFmt w:val="lowerLetter"/>
      <w:lvlText w:val="%2."/>
      <w:lvlJc w:val="left"/>
      <w:pPr>
        <w:ind w:left="513" w:hanging="360"/>
      </w:pPr>
    </w:lvl>
    <w:lvl w:ilvl="2" w:tplc="2C0A001B" w:tentative="1">
      <w:start w:val="1"/>
      <w:numFmt w:val="lowerRoman"/>
      <w:lvlText w:val="%3."/>
      <w:lvlJc w:val="right"/>
      <w:pPr>
        <w:ind w:left="1233" w:hanging="180"/>
      </w:pPr>
    </w:lvl>
    <w:lvl w:ilvl="3" w:tplc="2C0A000F" w:tentative="1">
      <w:start w:val="1"/>
      <w:numFmt w:val="decimal"/>
      <w:lvlText w:val="%4."/>
      <w:lvlJc w:val="left"/>
      <w:pPr>
        <w:ind w:left="1953" w:hanging="360"/>
      </w:pPr>
    </w:lvl>
    <w:lvl w:ilvl="4" w:tplc="2C0A0019" w:tentative="1">
      <w:start w:val="1"/>
      <w:numFmt w:val="lowerLetter"/>
      <w:lvlText w:val="%5."/>
      <w:lvlJc w:val="left"/>
      <w:pPr>
        <w:ind w:left="2673" w:hanging="360"/>
      </w:pPr>
    </w:lvl>
    <w:lvl w:ilvl="5" w:tplc="2C0A001B" w:tentative="1">
      <w:start w:val="1"/>
      <w:numFmt w:val="lowerRoman"/>
      <w:lvlText w:val="%6."/>
      <w:lvlJc w:val="right"/>
      <w:pPr>
        <w:ind w:left="3393" w:hanging="180"/>
      </w:pPr>
    </w:lvl>
    <w:lvl w:ilvl="6" w:tplc="2C0A000F" w:tentative="1">
      <w:start w:val="1"/>
      <w:numFmt w:val="decimal"/>
      <w:lvlText w:val="%7."/>
      <w:lvlJc w:val="left"/>
      <w:pPr>
        <w:ind w:left="4113" w:hanging="360"/>
      </w:pPr>
    </w:lvl>
    <w:lvl w:ilvl="7" w:tplc="2C0A0019" w:tentative="1">
      <w:start w:val="1"/>
      <w:numFmt w:val="lowerLetter"/>
      <w:lvlText w:val="%8."/>
      <w:lvlJc w:val="left"/>
      <w:pPr>
        <w:ind w:left="4833" w:hanging="360"/>
      </w:pPr>
    </w:lvl>
    <w:lvl w:ilvl="8" w:tplc="2C0A001B" w:tentative="1">
      <w:start w:val="1"/>
      <w:numFmt w:val="lowerRoman"/>
      <w:lvlText w:val="%9."/>
      <w:lvlJc w:val="right"/>
      <w:pPr>
        <w:ind w:left="5553" w:hanging="180"/>
      </w:pPr>
    </w:lvl>
  </w:abstractNum>
  <w:abstractNum w:abstractNumId="15" w15:restartNumberingAfterBreak="0">
    <w:nsid w:val="7495558B"/>
    <w:multiLevelType w:val="hybridMultilevel"/>
    <w:tmpl w:val="30D02894"/>
    <w:lvl w:ilvl="0" w:tplc="FFFFFFFF">
      <w:start w:val="1"/>
      <w:numFmt w:val="lowerRoman"/>
      <w:lvlText w:val="%1."/>
      <w:lvlJc w:val="left"/>
      <w:pPr>
        <w:ind w:left="153" w:hanging="720"/>
      </w:pPr>
      <w:rPr>
        <w:rFonts w:hint="default"/>
      </w:rPr>
    </w:lvl>
    <w:lvl w:ilvl="1" w:tplc="FFFFFFFF" w:tentative="1">
      <w:start w:val="1"/>
      <w:numFmt w:val="lowerLetter"/>
      <w:lvlText w:val="%2."/>
      <w:lvlJc w:val="left"/>
      <w:pPr>
        <w:ind w:left="513" w:hanging="360"/>
      </w:pPr>
    </w:lvl>
    <w:lvl w:ilvl="2" w:tplc="FFFFFFFF" w:tentative="1">
      <w:start w:val="1"/>
      <w:numFmt w:val="lowerRoman"/>
      <w:lvlText w:val="%3."/>
      <w:lvlJc w:val="right"/>
      <w:pPr>
        <w:ind w:left="1233" w:hanging="180"/>
      </w:pPr>
    </w:lvl>
    <w:lvl w:ilvl="3" w:tplc="FFFFFFFF" w:tentative="1">
      <w:start w:val="1"/>
      <w:numFmt w:val="decimal"/>
      <w:lvlText w:val="%4."/>
      <w:lvlJc w:val="lef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16" w15:restartNumberingAfterBreak="0">
    <w:nsid w:val="768346D6"/>
    <w:multiLevelType w:val="hybridMultilevel"/>
    <w:tmpl w:val="D69C9B60"/>
    <w:lvl w:ilvl="0" w:tplc="FFFFFFFF">
      <w:start w:val="1"/>
      <w:numFmt w:val="decimal"/>
      <w:lvlText w:val="%1)"/>
      <w:lvlJc w:val="left"/>
      <w:pPr>
        <w:tabs>
          <w:tab w:val="num" w:pos="720"/>
        </w:tabs>
        <w:ind w:left="720" w:hanging="360"/>
      </w:pPr>
      <w:rPr>
        <w:rFonts w:ascii="Times New Roman" w:hAnsi="Times New Roman" w:cs="Times New Roman" w:hint="default"/>
        <w:b/>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932506A"/>
    <w:multiLevelType w:val="hybridMultilevel"/>
    <w:tmpl w:val="22EACA5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233905006">
    <w:abstractNumId w:val="2"/>
  </w:num>
  <w:num w:numId="2" w16cid:durableId="343166283">
    <w:abstractNumId w:val="12"/>
  </w:num>
  <w:num w:numId="3" w16cid:durableId="2062166148">
    <w:abstractNumId w:val="5"/>
  </w:num>
  <w:num w:numId="4" w16cid:durableId="338653322">
    <w:abstractNumId w:val="0"/>
  </w:num>
  <w:num w:numId="5" w16cid:durableId="935599867">
    <w:abstractNumId w:val="11"/>
  </w:num>
  <w:num w:numId="6" w16cid:durableId="1192525800">
    <w:abstractNumId w:val="13"/>
  </w:num>
  <w:num w:numId="7" w16cid:durableId="297150757">
    <w:abstractNumId w:val="17"/>
  </w:num>
  <w:num w:numId="8" w16cid:durableId="1898855566">
    <w:abstractNumId w:val="14"/>
  </w:num>
  <w:num w:numId="9" w16cid:durableId="165635557">
    <w:abstractNumId w:val="8"/>
  </w:num>
  <w:num w:numId="10" w16cid:durableId="1277643086">
    <w:abstractNumId w:val="6"/>
  </w:num>
  <w:num w:numId="11" w16cid:durableId="1788549818">
    <w:abstractNumId w:val="15"/>
  </w:num>
  <w:num w:numId="12" w16cid:durableId="708184792">
    <w:abstractNumId w:val="1"/>
  </w:num>
  <w:num w:numId="13" w16cid:durableId="1926453088">
    <w:abstractNumId w:val="4"/>
  </w:num>
  <w:num w:numId="14" w16cid:durableId="12453367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864765">
    <w:abstractNumId w:val="9"/>
  </w:num>
  <w:num w:numId="16" w16cid:durableId="462114178">
    <w:abstractNumId w:val="10"/>
  </w:num>
  <w:num w:numId="17" w16cid:durableId="277949312">
    <w:abstractNumId w:val="7"/>
  </w:num>
  <w:num w:numId="18" w16cid:durableId="8275986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8C1"/>
    <w:rsid w:val="00002B3D"/>
    <w:rsid w:val="000032E2"/>
    <w:rsid w:val="0000437A"/>
    <w:rsid w:val="000146C8"/>
    <w:rsid w:val="00015702"/>
    <w:rsid w:val="0002342A"/>
    <w:rsid w:val="0002349D"/>
    <w:rsid w:val="000255B5"/>
    <w:rsid w:val="000269B7"/>
    <w:rsid w:val="00027208"/>
    <w:rsid w:val="000279F1"/>
    <w:rsid w:val="000301AE"/>
    <w:rsid w:val="000321E9"/>
    <w:rsid w:val="00033442"/>
    <w:rsid w:val="000347C1"/>
    <w:rsid w:val="00036ECF"/>
    <w:rsid w:val="00040D7E"/>
    <w:rsid w:val="000524C2"/>
    <w:rsid w:val="00052BE6"/>
    <w:rsid w:val="0005303D"/>
    <w:rsid w:val="00053D39"/>
    <w:rsid w:val="00060D73"/>
    <w:rsid w:val="00061500"/>
    <w:rsid w:val="00062840"/>
    <w:rsid w:val="00065A49"/>
    <w:rsid w:val="000702DE"/>
    <w:rsid w:val="00071F1A"/>
    <w:rsid w:val="000723C5"/>
    <w:rsid w:val="000756A4"/>
    <w:rsid w:val="00075C11"/>
    <w:rsid w:val="00077A30"/>
    <w:rsid w:val="00077EE2"/>
    <w:rsid w:val="00080266"/>
    <w:rsid w:val="000803EF"/>
    <w:rsid w:val="00080BE0"/>
    <w:rsid w:val="00095026"/>
    <w:rsid w:val="00097738"/>
    <w:rsid w:val="00097ED9"/>
    <w:rsid w:val="000A2129"/>
    <w:rsid w:val="000A5642"/>
    <w:rsid w:val="000B1F7F"/>
    <w:rsid w:val="000C2928"/>
    <w:rsid w:val="000C45B2"/>
    <w:rsid w:val="000C77F6"/>
    <w:rsid w:val="000D3276"/>
    <w:rsid w:val="000D47EF"/>
    <w:rsid w:val="000D4AA0"/>
    <w:rsid w:val="000D7250"/>
    <w:rsid w:val="000F171C"/>
    <w:rsid w:val="000F5919"/>
    <w:rsid w:val="000F5B36"/>
    <w:rsid w:val="000F6EB0"/>
    <w:rsid w:val="001030D1"/>
    <w:rsid w:val="00113C70"/>
    <w:rsid w:val="0012777D"/>
    <w:rsid w:val="00135B1A"/>
    <w:rsid w:val="001366FC"/>
    <w:rsid w:val="00141955"/>
    <w:rsid w:val="0014551F"/>
    <w:rsid w:val="0015214D"/>
    <w:rsid w:val="00152A30"/>
    <w:rsid w:val="00152CAE"/>
    <w:rsid w:val="001558C9"/>
    <w:rsid w:val="00165B2E"/>
    <w:rsid w:val="00173661"/>
    <w:rsid w:val="001762B9"/>
    <w:rsid w:val="00182B68"/>
    <w:rsid w:val="0019292C"/>
    <w:rsid w:val="00194EDE"/>
    <w:rsid w:val="001A1CB4"/>
    <w:rsid w:val="001B0595"/>
    <w:rsid w:val="001B1267"/>
    <w:rsid w:val="001B40CF"/>
    <w:rsid w:val="001B4BCE"/>
    <w:rsid w:val="001C45F1"/>
    <w:rsid w:val="001C650F"/>
    <w:rsid w:val="001C7AB7"/>
    <w:rsid w:val="001D0018"/>
    <w:rsid w:val="001E3F89"/>
    <w:rsid w:val="001E526E"/>
    <w:rsid w:val="001E5B26"/>
    <w:rsid w:val="001F4E5A"/>
    <w:rsid w:val="001F5CEB"/>
    <w:rsid w:val="00200915"/>
    <w:rsid w:val="00203696"/>
    <w:rsid w:val="00205CEE"/>
    <w:rsid w:val="00206653"/>
    <w:rsid w:val="00215062"/>
    <w:rsid w:val="00216C5C"/>
    <w:rsid w:val="00222A8B"/>
    <w:rsid w:val="00222F40"/>
    <w:rsid w:val="002316AD"/>
    <w:rsid w:val="002331B1"/>
    <w:rsid w:val="00241DA0"/>
    <w:rsid w:val="002465C5"/>
    <w:rsid w:val="00254817"/>
    <w:rsid w:val="00256511"/>
    <w:rsid w:val="002610AB"/>
    <w:rsid w:val="00262DE6"/>
    <w:rsid w:val="00266B99"/>
    <w:rsid w:val="0027611B"/>
    <w:rsid w:val="002833FF"/>
    <w:rsid w:val="002861FF"/>
    <w:rsid w:val="00286F6C"/>
    <w:rsid w:val="00290318"/>
    <w:rsid w:val="002911E0"/>
    <w:rsid w:val="00291584"/>
    <w:rsid w:val="00295E11"/>
    <w:rsid w:val="002A0158"/>
    <w:rsid w:val="002A2A7D"/>
    <w:rsid w:val="002A31E8"/>
    <w:rsid w:val="002B1E09"/>
    <w:rsid w:val="002B34A1"/>
    <w:rsid w:val="002B5BAB"/>
    <w:rsid w:val="002B666A"/>
    <w:rsid w:val="002E1110"/>
    <w:rsid w:val="002E595E"/>
    <w:rsid w:val="002E5B58"/>
    <w:rsid w:val="002F4FD1"/>
    <w:rsid w:val="00302184"/>
    <w:rsid w:val="00302F0D"/>
    <w:rsid w:val="00316B93"/>
    <w:rsid w:val="00321DE0"/>
    <w:rsid w:val="00323A2C"/>
    <w:rsid w:val="003248C2"/>
    <w:rsid w:val="00325014"/>
    <w:rsid w:val="003257B5"/>
    <w:rsid w:val="00326763"/>
    <w:rsid w:val="003317D9"/>
    <w:rsid w:val="00333591"/>
    <w:rsid w:val="00335EB6"/>
    <w:rsid w:val="00335F87"/>
    <w:rsid w:val="003360D6"/>
    <w:rsid w:val="00337B12"/>
    <w:rsid w:val="00343A64"/>
    <w:rsid w:val="003469C7"/>
    <w:rsid w:val="003530FE"/>
    <w:rsid w:val="003609B4"/>
    <w:rsid w:val="00362335"/>
    <w:rsid w:val="00362789"/>
    <w:rsid w:val="003645CE"/>
    <w:rsid w:val="00364CCD"/>
    <w:rsid w:val="00371F0D"/>
    <w:rsid w:val="0038012F"/>
    <w:rsid w:val="00381A43"/>
    <w:rsid w:val="00381F37"/>
    <w:rsid w:val="00386237"/>
    <w:rsid w:val="00390478"/>
    <w:rsid w:val="003952CF"/>
    <w:rsid w:val="003A0DE6"/>
    <w:rsid w:val="003A4E3E"/>
    <w:rsid w:val="003B56DA"/>
    <w:rsid w:val="003B7B92"/>
    <w:rsid w:val="003C3C11"/>
    <w:rsid w:val="003D11C1"/>
    <w:rsid w:val="003D266C"/>
    <w:rsid w:val="003D4FCB"/>
    <w:rsid w:val="003E2207"/>
    <w:rsid w:val="003E7B4E"/>
    <w:rsid w:val="003F1001"/>
    <w:rsid w:val="003F6218"/>
    <w:rsid w:val="004047E5"/>
    <w:rsid w:val="00404F7B"/>
    <w:rsid w:val="00405ADA"/>
    <w:rsid w:val="004141BC"/>
    <w:rsid w:val="00453AA4"/>
    <w:rsid w:val="00455EFD"/>
    <w:rsid w:val="00457ECB"/>
    <w:rsid w:val="00461079"/>
    <w:rsid w:val="0046276E"/>
    <w:rsid w:val="004670C3"/>
    <w:rsid w:val="0047393B"/>
    <w:rsid w:val="004762E8"/>
    <w:rsid w:val="0047656B"/>
    <w:rsid w:val="00480434"/>
    <w:rsid w:val="00481378"/>
    <w:rsid w:val="00491244"/>
    <w:rsid w:val="004924E7"/>
    <w:rsid w:val="00493B40"/>
    <w:rsid w:val="00494323"/>
    <w:rsid w:val="00495849"/>
    <w:rsid w:val="00496A29"/>
    <w:rsid w:val="004A3DF2"/>
    <w:rsid w:val="004A643B"/>
    <w:rsid w:val="004B1464"/>
    <w:rsid w:val="004C0B7D"/>
    <w:rsid w:val="004E0D90"/>
    <w:rsid w:val="004E104C"/>
    <w:rsid w:val="004E28E2"/>
    <w:rsid w:val="004E4F2B"/>
    <w:rsid w:val="004F3197"/>
    <w:rsid w:val="004F4801"/>
    <w:rsid w:val="004F5997"/>
    <w:rsid w:val="004F67B4"/>
    <w:rsid w:val="005006C3"/>
    <w:rsid w:val="00502C5E"/>
    <w:rsid w:val="0050390A"/>
    <w:rsid w:val="00503BC1"/>
    <w:rsid w:val="00507577"/>
    <w:rsid w:val="00511B5A"/>
    <w:rsid w:val="00512391"/>
    <w:rsid w:val="00517886"/>
    <w:rsid w:val="00523FC1"/>
    <w:rsid w:val="00531A2D"/>
    <w:rsid w:val="00534CB5"/>
    <w:rsid w:val="00536094"/>
    <w:rsid w:val="00536820"/>
    <w:rsid w:val="00542D6B"/>
    <w:rsid w:val="00544253"/>
    <w:rsid w:val="00544502"/>
    <w:rsid w:val="00547714"/>
    <w:rsid w:val="00574A1D"/>
    <w:rsid w:val="00574F3D"/>
    <w:rsid w:val="00577A66"/>
    <w:rsid w:val="00580DE0"/>
    <w:rsid w:val="00597767"/>
    <w:rsid w:val="005A366C"/>
    <w:rsid w:val="005A3F7E"/>
    <w:rsid w:val="005B02E1"/>
    <w:rsid w:val="005B2C3C"/>
    <w:rsid w:val="005B5B02"/>
    <w:rsid w:val="005B69CD"/>
    <w:rsid w:val="005C781E"/>
    <w:rsid w:val="005D39AF"/>
    <w:rsid w:val="005D5F0B"/>
    <w:rsid w:val="005E2E6B"/>
    <w:rsid w:val="005E404F"/>
    <w:rsid w:val="005F20F4"/>
    <w:rsid w:val="005F521D"/>
    <w:rsid w:val="00600BF3"/>
    <w:rsid w:val="00607AC0"/>
    <w:rsid w:val="00610B7E"/>
    <w:rsid w:val="00620DD2"/>
    <w:rsid w:val="00640F3D"/>
    <w:rsid w:val="00645671"/>
    <w:rsid w:val="00652C51"/>
    <w:rsid w:val="006570AB"/>
    <w:rsid w:val="006570C0"/>
    <w:rsid w:val="00657396"/>
    <w:rsid w:val="00661FB2"/>
    <w:rsid w:val="006642B0"/>
    <w:rsid w:val="006644AA"/>
    <w:rsid w:val="0067213B"/>
    <w:rsid w:val="00672EDE"/>
    <w:rsid w:val="00692172"/>
    <w:rsid w:val="006A455A"/>
    <w:rsid w:val="006B3336"/>
    <w:rsid w:val="006B387D"/>
    <w:rsid w:val="006B58E1"/>
    <w:rsid w:val="006C14EC"/>
    <w:rsid w:val="006C347F"/>
    <w:rsid w:val="006C50B0"/>
    <w:rsid w:val="006C6C56"/>
    <w:rsid w:val="006D40DF"/>
    <w:rsid w:val="006D51E5"/>
    <w:rsid w:val="006D6A9B"/>
    <w:rsid w:val="006E406B"/>
    <w:rsid w:val="006E532A"/>
    <w:rsid w:val="006E735F"/>
    <w:rsid w:val="006F1FBB"/>
    <w:rsid w:val="0070082F"/>
    <w:rsid w:val="0070194F"/>
    <w:rsid w:val="0070231A"/>
    <w:rsid w:val="00705396"/>
    <w:rsid w:val="00712AE4"/>
    <w:rsid w:val="00720FA2"/>
    <w:rsid w:val="00724703"/>
    <w:rsid w:val="0074385E"/>
    <w:rsid w:val="007453D3"/>
    <w:rsid w:val="0074608C"/>
    <w:rsid w:val="007556CD"/>
    <w:rsid w:val="00755D36"/>
    <w:rsid w:val="0076436A"/>
    <w:rsid w:val="00764A1B"/>
    <w:rsid w:val="007711F2"/>
    <w:rsid w:val="007776F5"/>
    <w:rsid w:val="00777BE7"/>
    <w:rsid w:val="0078186A"/>
    <w:rsid w:val="00785302"/>
    <w:rsid w:val="00787169"/>
    <w:rsid w:val="0079116C"/>
    <w:rsid w:val="007911DE"/>
    <w:rsid w:val="00797D26"/>
    <w:rsid w:val="007A60FD"/>
    <w:rsid w:val="007A6A0F"/>
    <w:rsid w:val="007A7BAE"/>
    <w:rsid w:val="007B00B7"/>
    <w:rsid w:val="007C3F7E"/>
    <w:rsid w:val="007C6C4D"/>
    <w:rsid w:val="007D35BA"/>
    <w:rsid w:val="007D6935"/>
    <w:rsid w:val="007D7EA4"/>
    <w:rsid w:val="007E48A3"/>
    <w:rsid w:val="007E52BB"/>
    <w:rsid w:val="007E76AA"/>
    <w:rsid w:val="007F0484"/>
    <w:rsid w:val="007F09E7"/>
    <w:rsid w:val="007F22B4"/>
    <w:rsid w:val="007F3602"/>
    <w:rsid w:val="007F4B7A"/>
    <w:rsid w:val="007F4D6F"/>
    <w:rsid w:val="007F7697"/>
    <w:rsid w:val="008019C2"/>
    <w:rsid w:val="00802C51"/>
    <w:rsid w:val="00806EAF"/>
    <w:rsid w:val="00812426"/>
    <w:rsid w:val="0081285A"/>
    <w:rsid w:val="00814AD8"/>
    <w:rsid w:val="008154EB"/>
    <w:rsid w:val="0082158E"/>
    <w:rsid w:val="00823189"/>
    <w:rsid w:val="008314C2"/>
    <w:rsid w:val="00833785"/>
    <w:rsid w:val="0083440F"/>
    <w:rsid w:val="00835E8A"/>
    <w:rsid w:val="00835F5B"/>
    <w:rsid w:val="0084040F"/>
    <w:rsid w:val="00842FFD"/>
    <w:rsid w:val="00850941"/>
    <w:rsid w:val="008544F6"/>
    <w:rsid w:val="00855529"/>
    <w:rsid w:val="008558F0"/>
    <w:rsid w:val="00857D2C"/>
    <w:rsid w:val="00857D56"/>
    <w:rsid w:val="00860857"/>
    <w:rsid w:val="00863355"/>
    <w:rsid w:val="0086346A"/>
    <w:rsid w:val="00867A68"/>
    <w:rsid w:val="00870C57"/>
    <w:rsid w:val="00871DF3"/>
    <w:rsid w:val="00874204"/>
    <w:rsid w:val="00881F2D"/>
    <w:rsid w:val="0088274A"/>
    <w:rsid w:val="00883FCE"/>
    <w:rsid w:val="0088469A"/>
    <w:rsid w:val="00891AFA"/>
    <w:rsid w:val="008958C1"/>
    <w:rsid w:val="008A3728"/>
    <w:rsid w:val="008A6AE0"/>
    <w:rsid w:val="008A6B88"/>
    <w:rsid w:val="008B3031"/>
    <w:rsid w:val="008B6B38"/>
    <w:rsid w:val="008C0115"/>
    <w:rsid w:val="008C6971"/>
    <w:rsid w:val="008C6C14"/>
    <w:rsid w:val="008D21E6"/>
    <w:rsid w:val="008D2546"/>
    <w:rsid w:val="008D650A"/>
    <w:rsid w:val="008E18DD"/>
    <w:rsid w:val="008F5784"/>
    <w:rsid w:val="008F63DF"/>
    <w:rsid w:val="00900ED3"/>
    <w:rsid w:val="00901072"/>
    <w:rsid w:val="009031D5"/>
    <w:rsid w:val="00903F8F"/>
    <w:rsid w:val="009112D5"/>
    <w:rsid w:val="00913234"/>
    <w:rsid w:val="0092138C"/>
    <w:rsid w:val="00922D6D"/>
    <w:rsid w:val="00930809"/>
    <w:rsid w:val="00931AB9"/>
    <w:rsid w:val="00934AF4"/>
    <w:rsid w:val="009432FA"/>
    <w:rsid w:val="00943539"/>
    <w:rsid w:val="00945C77"/>
    <w:rsid w:val="00952D13"/>
    <w:rsid w:val="00970992"/>
    <w:rsid w:val="00970E54"/>
    <w:rsid w:val="00977B46"/>
    <w:rsid w:val="0098449C"/>
    <w:rsid w:val="00992798"/>
    <w:rsid w:val="009929C1"/>
    <w:rsid w:val="0099616D"/>
    <w:rsid w:val="009A2512"/>
    <w:rsid w:val="009B240C"/>
    <w:rsid w:val="009C3730"/>
    <w:rsid w:val="009C4CEA"/>
    <w:rsid w:val="009C6D46"/>
    <w:rsid w:val="009D0B79"/>
    <w:rsid w:val="009D2AA9"/>
    <w:rsid w:val="009D4486"/>
    <w:rsid w:val="009E0A80"/>
    <w:rsid w:val="009E33B0"/>
    <w:rsid w:val="009F019C"/>
    <w:rsid w:val="009F3548"/>
    <w:rsid w:val="009F532E"/>
    <w:rsid w:val="009F6AFB"/>
    <w:rsid w:val="00A02320"/>
    <w:rsid w:val="00A17964"/>
    <w:rsid w:val="00A21E03"/>
    <w:rsid w:val="00A258EE"/>
    <w:rsid w:val="00A25B68"/>
    <w:rsid w:val="00A27742"/>
    <w:rsid w:val="00A32500"/>
    <w:rsid w:val="00A35B34"/>
    <w:rsid w:val="00A364F4"/>
    <w:rsid w:val="00A36E7E"/>
    <w:rsid w:val="00A4128C"/>
    <w:rsid w:val="00A43213"/>
    <w:rsid w:val="00A45B63"/>
    <w:rsid w:val="00A466F4"/>
    <w:rsid w:val="00A56514"/>
    <w:rsid w:val="00A65817"/>
    <w:rsid w:val="00A71F99"/>
    <w:rsid w:val="00A803DD"/>
    <w:rsid w:val="00A81B36"/>
    <w:rsid w:val="00A8381B"/>
    <w:rsid w:val="00A86E50"/>
    <w:rsid w:val="00A87BC2"/>
    <w:rsid w:val="00A96D03"/>
    <w:rsid w:val="00AB32E9"/>
    <w:rsid w:val="00AB46A8"/>
    <w:rsid w:val="00AB4AB6"/>
    <w:rsid w:val="00AC17AC"/>
    <w:rsid w:val="00AC4476"/>
    <w:rsid w:val="00AD481C"/>
    <w:rsid w:val="00AE0175"/>
    <w:rsid w:val="00AF3835"/>
    <w:rsid w:val="00AF7B85"/>
    <w:rsid w:val="00B0719E"/>
    <w:rsid w:val="00B1267F"/>
    <w:rsid w:val="00B2679B"/>
    <w:rsid w:val="00B275C0"/>
    <w:rsid w:val="00B302BA"/>
    <w:rsid w:val="00B34A2A"/>
    <w:rsid w:val="00B36E64"/>
    <w:rsid w:val="00B36FA3"/>
    <w:rsid w:val="00B50616"/>
    <w:rsid w:val="00B540F1"/>
    <w:rsid w:val="00B65A06"/>
    <w:rsid w:val="00B67C3C"/>
    <w:rsid w:val="00B707C4"/>
    <w:rsid w:val="00B76E10"/>
    <w:rsid w:val="00B948A4"/>
    <w:rsid w:val="00B94C30"/>
    <w:rsid w:val="00B967A4"/>
    <w:rsid w:val="00BA0D8E"/>
    <w:rsid w:val="00BA1341"/>
    <w:rsid w:val="00BA5798"/>
    <w:rsid w:val="00BB0277"/>
    <w:rsid w:val="00BC0E81"/>
    <w:rsid w:val="00BC1765"/>
    <w:rsid w:val="00BC3732"/>
    <w:rsid w:val="00BC4209"/>
    <w:rsid w:val="00BC76DF"/>
    <w:rsid w:val="00BD596D"/>
    <w:rsid w:val="00BD5A05"/>
    <w:rsid w:val="00BD5F0C"/>
    <w:rsid w:val="00BD6E5C"/>
    <w:rsid w:val="00BE31B2"/>
    <w:rsid w:val="00BE751E"/>
    <w:rsid w:val="00BF565D"/>
    <w:rsid w:val="00C007A1"/>
    <w:rsid w:val="00C05F36"/>
    <w:rsid w:val="00C100DB"/>
    <w:rsid w:val="00C117F0"/>
    <w:rsid w:val="00C14E1C"/>
    <w:rsid w:val="00C15D76"/>
    <w:rsid w:val="00C17067"/>
    <w:rsid w:val="00C218F6"/>
    <w:rsid w:val="00C318F7"/>
    <w:rsid w:val="00C34B75"/>
    <w:rsid w:val="00C50B88"/>
    <w:rsid w:val="00C55A92"/>
    <w:rsid w:val="00C56631"/>
    <w:rsid w:val="00C619C3"/>
    <w:rsid w:val="00C7181E"/>
    <w:rsid w:val="00C74358"/>
    <w:rsid w:val="00C74FBD"/>
    <w:rsid w:val="00C7585A"/>
    <w:rsid w:val="00C75A68"/>
    <w:rsid w:val="00C76053"/>
    <w:rsid w:val="00C764BA"/>
    <w:rsid w:val="00C812C3"/>
    <w:rsid w:val="00C83F8D"/>
    <w:rsid w:val="00C87D3B"/>
    <w:rsid w:val="00C932BF"/>
    <w:rsid w:val="00C93FAE"/>
    <w:rsid w:val="00C950D1"/>
    <w:rsid w:val="00CA35DD"/>
    <w:rsid w:val="00CA4661"/>
    <w:rsid w:val="00CA4D73"/>
    <w:rsid w:val="00CA66E0"/>
    <w:rsid w:val="00CB0BA5"/>
    <w:rsid w:val="00CB46F2"/>
    <w:rsid w:val="00CB62B4"/>
    <w:rsid w:val="00CB7C3F"/>
    <w:rsid w:val="00CC1E30"/>
    <w:rsid w:val="00CE2A4E"/>
    <w:rsid w:val="00CE40F0"/>
    <w:rsid w:val="00CF3ECD"/>
    <w:rsid w:val="00CF6EBD"/>
    <w:rsid w:val="00D035BD"/>
    <w:rsid w:val="00D067EF"/>
    <w:rsid w:val="00D10D6A"/>
    <w:rsid w:val="00D10F48"/>
    <w:rsid w:val="00D131A2"/>
    <w:rsid w:val="00D1602D"/>
    <w:rsid w:val="00D26CD1"/>
    <w:rsid w:val="00D3470B"/>
    <w:rsid w:val="00D50E35"/>
    <w:rsid w:val="00D553EF"/>
    <w:rsid w:val="00D573AF"/>
    <w:rsid w:val="00D620A8"/>
    <w:rsid w:val="00D655DC"/>
    <w:rsid w:val="00D66A4B"/>
    <w:rsid w:val="00D67BCA"/>
    <w:rsid w:val="00D70E18"/>
    <w:rsid w:val="00D7179C"/>
    <w:rsid w:val="00D74804"/>
    <w:rsid w:val="00D8120A"/>
    <w:rsid w:val="00D83D31"/>
    <w:rsid w:val="00D8476A"/>
    <w:rsid w:val="00D86D8D"/>
    <w:rsid w:val="00D92CBD"/>
    <w:rsid w:val="00D963BA"/>
    <w:rsid w:val="00DA4E2A"/>
    <w:rsid w:val="00DB1311"/>
    <w:rsid w:val="00DB5CB3"/>
    <w:rsid w:val="00DB62B8"/>
    <w:rsid w:val="00DC6F8E"/>
    <w:rsid w:val="00DD23A6"/>
    <w:rsid w:val="00DE1669"/>
    <w:rsid w:val="00DF0534"/>
    <w:rsid w:val="00DF1A1B"/>
    <w:rsid w:val="00DF1DA0"/>
    <w:rsid w:val="00E1288A"/>
    <w:rsid w:val="00E128DC"/>
    <w:rsid w:val="00E2148E"/>
    <w:rsid w:val="00E24909"/>
    <w:rsid w:val="00E25002"/>
    <w:rsid w:val="00E32368"/>
    <w:rsid w:val="00E34CD8"/>
    <w:rsid w:val="00E405BA"/>
    <w:rsid w:val="00E41B14"/>
    <w:rsid w:val="00E4502E"/>
    <w:rsid w:val="00E4632D"/>
    <w:rsid w:val="00E53A64"/>
    <w:rsid w:val="00E55F1D"/>
    <w:rsid w:val="00E579A1"/>
    <w:rsid w:val="00E60BEF"/>
    <w:rsid w:val="00E63239"/>
    <w:rsid w:val="00E66A9F"/>
    <w:rsid w:val="00E675B3"/>
    <w:rsid w:val="00E86C6B"/>
    <w:rsid w:val="00E87E5C"/>
    <w:rsid w:val="00E9039C"/>
    <w:rsid w:val="00E93578"/>
    <w:rsid w:val="00EA20AE"/>
    <w:rsid w:val="00EA4A70"/>
    <w:rsid w:val="00EB0871"/>
    <w:rsid w:val="00EB1F8E"/>
    <w:rsid w:val="00EB3890"/>
    <w:rsid w:val="00EC08F2"/>
    <w:rsid w:val="00EC27FC"/>
    <w:rsid w:val="00EC509C"/>
    <w:rsid w:val="00EC745E"/>
    <w:rsid w:val="00ED063F"/>
    <w:rsid w:val="00ED27C1"/>
    <w:rsid w:val="00ED3F8A"/>
    <w:rsid w:val="00ED58A9"/>
    <w:rsid w:val="00EE0C1F"/>
    <w:rsid w:val="00EE1ACE"/>
    <w:rsid w:val="00EE271F"/>
    <w:rsid w:val="00EF101A"/>
    <w:rsid w:val="00EF1E9A"/>
    <w:rsid w:val="00EF2495"/>
    <w:rsid w:val="00F01942"/>
    <w:rsid w:val="00F028B5"/>
    <w:rsid w:val="00F02B73"/>
    <w:rsid w:val="00F064E2"/>
    <w:rsid w:val="00F07066"/>
    <w:rsid w:val="00F15087"/>
    <w:rsid w:val="00F22B92"/>
    <w:rsid w:val="00F22C4D"/>
    <w:rsid w:val="00F34E08"/>
    <w:rsid w:val="00F40DBB"/>
    <w:rsid w:val="00F41528"/>
    <w:rsid w:val="00F55177"/>
    <w:rsid w:val="00F67FA4"/>
    <w:rsid w:val="00F72214"/>
    <w:rsid w:val="00F80202"/>
    <w:rsid w:val="00F82FBE"/>
    <w:rsid w:val="00F840F3"/>
    <w:rsid w:val="00F84D13"/>
    <w:rsid w:val="00F8708C"/>
    <w:rsid w:val="00F939BA"/>
    <w:rsid w:val="00FA1E13"/>
    <w:rsid w:val="00FA3300"/>
    <w:rsid w:val="00FA3917"/>
    <w:rsid w:val="00FA70C3"/>
    <w:rsid w:val="00FA7587"/>
    <w:rsid w:val="00FB1606"/>
    <w:rsid w:val="00FB2E89"/>
    <w:rsid w:val="00FB4171"/>
    <w:rsid w:val="00FB7FE2"/>
    <w:rsid w:val="00FC2363"/>
    <w:rsid w:val="00FC4580"/>
    <w:rsid w:val="00FD3860"/>
    <w:rsid w:val="00FD6FCB"/>
    <w:rsid w:val="00FE07E9"/>
    <w:rsid w:val="00FE1AF4"/>
    <w:rsid w:val="00FE20A9"/>
    <w:rsid w:val="00FE21FB"/>
    <w:rsid w:val="00FE3D90"/>
    <w:rsid w:val="00FF04AA"/>
    <w:rsid w:val="00FF3074"/>
    <w:rsid w:val="00FF511B"/>
    <w:rsid w:val="00FF6EF2"/>
    <w:rsid w:val="00FF704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055ED"/>
  <w15:chartTrackingRefBased/>
  <w15:docId w15:val="{BC948867-DBBE-4985-8EB6-7433D70B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Heading1">
    <w:name w:val="heading 1"/>
    <w:basedOn w:val="Normal"/>
    <w:next w:val="Normal"/>
    <w:qFormat/>
    <w:pPr>
      <w:keepLines/>
      <w:pageBreakBefore/>
      <w:numPr>
        <w:numId w:val="1"/>
      </w:numPr>
      <w:pBdr>
        <w:bottom w:val="single" w:sz="6" w:space="1" w:color="auto"/>
      </w:pBdr>
      <w:spacing w:before="4080"/>
      <w:outlineLvl w:val="0"/>
    </w:pPr>
    <w:rPr>
      <w:rFonts w:ascii="Arial" w:hAnsi="Arial"/>
      <w:b/>
      <w:caps/>
      <w:kern w:val="28"/>
      <w:sz w:val="52"/>
      <w:szCs w:val="20"/>
      <w:lang w:val="es-AR" w:eastAsia="en-US"/>
    </w:rPr>
  </w:style>
  <w:style w:type="paragraph" w:styleId="Heading2">
    <w:name w:val="heading 2"/>
    <w:basedOn w:val="Normal"/>
    <w:next w:val="Normal"/>
    <w:qFormat/>
    <w:pPr>
      <w:keepNext/>
      <w:keepLines/>
      <w:numPr>
        <w:ilvl w:val="1"/>
        <w:numId w:val="1"/>
      </w:numPr>
      <w:pBdr>
        <w:bottom w:val="single" w:sz="4" w:space="1" w:color="auto"/>
      </w:pBdr>
      <w:tabs>
        <w:tab w:val="left" w:pos="3119"/>
      </w:tabs>
      <w:spacing w:before="240" w:after="60"/>
      <w:outlineLvl w:val="1"/>
    </w:pPr>
    <w:rPr>
      <w:rFonts w:ascii="Arial" w:hAnsi="Arial"/>
      <w:b/>
      <w:caps/>
      <w:sz w:val="36"/>
      <w:szCs w:val="20"/>
      <w:lang w:val="es-AR" w:eastAsia="en-US"/>
    </w:rPr>
  </w:style>
  <w:style w:type="paragraph" w:styleId="Heading3">
    <w:name w:val="heading 3"/>
    <w:basedOn w:val="Normal"/>
    <w:next w:val="Normal"/>
    <w:qFormat/>
    <w:pPr>
      <w:keepNext/>
      <w:widowControl w:val="0"/>
      <w:numPr>
        <w:ilvl w:val="2"/>
        <w:numId w:val="1"/>
      </w:numPr>
      <w:tabs>
        <w:tab w:val="left" w:pos="8931"/>
        <w:tab w:val="right" w:pos="9356"/>
      </w:tabs>
      <w:spacing w:before="240" w:after="60"/>
      <w:ind w:right="283"/>
      <w:outlineLvl w:val="2"/>
    </w:pPr>
    <w:rPr>
      <w:rFonts w:ascii="Arial" w:hAnsi="Arial" w:cs="Arial"/>
      <w:b/>
      <w:caps/>
      <w:szCs w:val="20"/>
      <w:u w:val="single"/>
      <w:lang w:val="es-AR" w:eastAsia="en-US"/>
    </w:rPr>
  </w:style>
  <w:style w:type="paragraph" w:styleId="Heading4">
    <w:name w:val="heading 4"/>
    <w:basedOn w:val="Normal"/>
    <w:next w:val="Normal"/>
    <w:qFormat/>
    <w:pPr>
      <w:widowControl w:val="0"/>
      <w:numPr>
        <w:ilvl w:val="3"/>
        <w:numId w:val="1"/>
      </w:numPr>
      <w:tabs>
        <w:tab w:val="clear" w:pos="1800"/>
        <w:tab w:val="left" w:pos="1418"/>
      </w:tabs>
      <w:spacing w:before="240" w:after="60"/>
      <w:outlineLvl w:val="3"/>
    </w:pPr>
    <w:rPr>
      <w:rFonts w:ascii="Arial" w:hAnsi="Arial"/>
      <w:b/>
      <w:caps/>
      <w:szCs w:val="20"/>
      <w:lang w:val="es-ES_tradnl" w:eastAsia="en-US"/>
    </w:rPr>
  </w:style>
  <w:style w:type="paragraph" w:styleId="Heading5">
    <w:name w:val="heading 5"/>
    <w:basedOn w:val="Normal"/>
    <w:next w:val="Normal"/>
    <w:qFormat/>
    <w:pPr>
      <w:keepLines/>
      <w:widowControl w:val="0"/>
      <w:numPr>
        <w:ilvl w:val="4"/>
        <w:numId w:val="1"/>
      </w:numPr>
      <w:tabs>
        <w:tab w:val="left" w:pos="1418"/>
      </w:tabs>
      <w:spacing w:before="240" w:after="60"/>
      <w:outlineLvl w:val="4"/>
    </w:pPr>
    <w:rPr>
      <w:rFonts w:ascii="Arial" w:hAnsi="Arial"/>
      <w:b/>
      <w:caps/>
      <w:szCs w:val="20"/>
      <w:lang w:val="es-ES_tradnl" w:eastAsia="en-US"/>
    </w:rPr>
  </w:style>
  <w:style w:type="paragraph" w:styleId="Heading6">
    <w:name w:val="heading 6"/>
    <w:basedOn w:val="Normal"/>
    <w:next w:val="Normal"/>
    <w:qFormat/>
    <w:pPr>
      <w:keepNext/>
      <w:tabs>
        <w:tab w:val="left" w:pos="0"/>
      </w:tabs>
      <w:suppressAutoHyphens/>
      <w:jc w:val="both"/>
      <w:outlineLvl w:val="5"/>
    </w:pPr>
    <w:rPr>
      <w:b/>
      <w:cap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widowControl w:val="0"/>
      <w:tabs>
        <w:tab w:val="left" w:pos="567"/>
        <w:tab w:val="left" w:pos="664"/>
      </w:tabs>
      <w:spacing w:before="120" w:after="60" w:line="220" w:lineRule="atLeast"/>
      <w:jc w:val="both"/>
    </w:pPr>
    <w:rPr>
      <w:rFonts w:ascii="Arial" w:hAnsi="Arial"/>
      <w:szCs w:val="20"/>
      <w:lang w:val="es-AR" w:eastAsia="en-US"/>
    </w:rPr>
  </w:style>
  <w:style w:type="paragraph" w:customStyle="1" w:styleId="HPCarta">
    <w:name w:val="HP Carta"/>
    <w:pPr>
      <w:widowControl w:val="0"/>
      <w:tabs>
        <w:tab w:val="left" w:pos="-720"/>
      </w:tabs>
      <w:suppressAutoHyphens/>
      <w:spacing w:line="360" w:lineRule="auto"/>
    </w:pPr>
    <w:rPr>
      <w:rFonts w:ascii="Courier" w:hAnsi="Courier"/>
      <w:sz w:val="24"/>
      <w:lang w:val="en-US" w:eastAsia="en-US"/>
    </w:rPr>
  </w:style>
  <w:style w:type="paragraph" w:customStyle="1" w:styleId="CPN-nheading">
    <w:name w:val="CPN-n/heading"/>
    <w:basedOn w:val="Normal"/>
    <w:pPr>
      <w:keepNext/>
      <w:keepLines/>
      <w:spacing w:before="120" w:after="240" w:line="240" w:lineRule="exact"/>
      <w:jc w:val="center"/>
    </w:pPr>
    <w:rPr>
      <w:rFonts w:ascii="Arial" w:hAnsi="Arial"/>
      <w:b/>
      <w:sz w:val="22"/>
      <w:szCs w:val="20"/>
      <w:lang w:val="en-US" w:eastAsia="en-US"/>
    </w:rPr>
  </w:style>
  <w:style w:type="paragraph" w:customStyle="1" w:styleId="DPWfdtblbody9">
    <w:name w:val="DPWfd tbl body9"/>
    <w:aliases w:val="y9"/>
    <w:basedOn w:val="Normal"/>
    <w:pPr>
      <w:overflowPunct w:val="0"/>
      <w:autoSpaceDE w:val="0"/>
      <w:autoSpaceDN w:val="0"/>
      <w:adjustRightInd w:val="0"/>
      <w:spacing w:line="180" w:lineRule="exact"/>
      <w:jc w:val="both"/>
      <w:textAlignment w:val="baseline"/>
    </w:pPr>
    <w:rPr>
      <w:sz w:val="18"/>
      <w:szCs w:val="20"/>
      <w:lang w:val="en-US"/>
    </w:rPr>
  </w:style>
  <w:style w:type="paragraph" w:customStyle="1" w:styleId="DPWfd">
    <w:name w:val="DPW fd"/>
    <w:aliases w:val="n"/>
    <w:basedOn w:val="Normal"/>
    <w:rPr>
      <w:sz w:val="20"/>
      <w:szCs w:val="20"/>
      <w:lang w:val="en-US" w:eastAsia="en-US"/>
    </w:rPr>
  </w:style>
  <w:style w:type="paragraph" w:customStyle="1" w:styleId="CorreoHOST">
    <w:name w:val="Correo HOST"/>
    <w:basedOn w:val="Normal"/>
    <w:pPr>
      <w:overflowPunct w:val="0"/>
      <w:autoSpaceDE w:val="0"/>
      <w:autoSpaceDN w:val="0"/>
      <w:adjustRightInd w:val="0"/>
      <w:textAlignment w:val="baseline"/>
    </w:pPr>
    <w:rPr>
      <w:rFonts w:ascii="Monaco" w:hAnsi="Monaco"/>
      <w:sz w:val="18"/>
      <w:szCs w:val="20"/>
      <w:lang w:val="es-ES_tradnl"/>
    </w:rPr>
  </w:style>
  <w:style w:type="paragraph" w:customStyle="1" w:styleId="DPWfdtblhead8">
    <w:name w:val="DPWfd tbl head8"/>
    <w:aliases w:val="h8"/>
    <w:basedOn w:val="Normal"/>
    <w:pPr>
      <w:overflowPunct w:val="0"/>
      <w:autoSpaceDE w:val="0"/>
      <w:autoSpaceDN w:val="0"/>
      <w:adjustRightInd w:val="0"/>
      <w:spacing w:before="20" w:after="40" w:line="180" w:lineRule="exact"/>
      <w:jc w:val="center"/>
      <w:textAlignment w:val="baseline"/>
    </w:pPr>
    <w:rPr>
      <w:b/>
      <w:sz w:val="16"/>
      <w:szCs w:val="20"/>
      <w:lang w:val="en-US"/>
    </w:rPr>
  </w:style>
  <w:style w:type="paragraph" w:customStyle="1" w:styleId="DPWWriterInfo">
    <w:name w:val="DPW Writer Info"/>
    <w:basedOn w:val="Normal"/>
    <w:pPr>
      <w:overflowPunct w:val="0"/>
      <w:autoSpaceDE w:val="0"/>
      <w:autoSpaceDN w:val="0"/>
      <w:adjustRightInd w:val="0"/>
      <w:spacing w:before="1570" w:after="700"/>
      <w:jc w:val="center"/>
      <w:textAlignment w:val="baseline"/>
    </w:pPr>
    <w:rPr>
      <w:rFonts w:ascii="Arial" w:hAnsi="Arial"/>
      <w:sz w:val="16"/>
      <w:szCs w:val="20"/>
      <w:lang w:val="en-US"/>
    </w:rPr>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paragraph" w:customStyle="1" w:styleId="body">
    <w:name w:val="body"/>
    <w:pPr>
      <w:widowControl w:val="0"/>
      <w:spacing w:after="174" w:line="265" w:lineRule="exact"/>
      <w:ind w:left="924"/>
      <w:jc w:val="both"/>
    </w:pPr>
    <w:rPr>
      <w:rFonts w:ascii="Tms Rmn" w:hAnsi="Tms Rmn"/>
      <w:color w:val="000000"/>
      <w:spacing w:val="5"/>
      <w:sz w:val="19"/>
      <w:lang w:val="en-GB" w:eastAsia="es-ES"/>
    </w:rPr>
  </w:style>
  <w:style w:type="paragraph" w:styleId="BodyText2">
    <w:name w:val="Body Text 2"/>
    <w:basedOn w:val="Normal"/>
    <w:pPr>
      <w:tabs>
        <w:tab w:val="left" w:pos="567"/>
      </w:tabs>
    </w:pPr>
    <w:rPr>
      <w:sz w:val="22"/>
      <w:szCs w:val="20"/>
      <w:lang w:val="es-AR"/>
    </w:rPr>
  </w:style>
  <w:style w:type="paragraph" w:customStyle="1" w:styleId="DPWfdtblstub9">
    <w:name w:val="DPWfd tbl stub9"/>
    <w:aliases w:val="s9"/>
    <w:basedOn w:val="DPWfd"/>
    <w:next w:val="DPWfd"/>
    <w:pPr>
      <w:overflowPunct w:val="0"/>
      <w:autoSpaceDE w:val="0"/>
      <w:autoSpaceDN w:val="0"/>
      <w:adjustRightInd w:val="0"/>
      <w:ind w:left="187" w:right="187" w:hanging="187"/>
      <w:textAlignment w:val="baseline"/>
    </w:pPr>
    <w:rPr>
      <w:sz w:val="18"/>
      <w:lang w:eastAsia="es-ES"/>
    </w:rPr>
  </w:style>
  <w:style w:type="character" w:styleId="PageNumber">
    <w:name w:val="page number"/>
    <w:basedOn w:val="DefaultParagraphFont"/>
  </w:style>
  <w:style w:type="paragraph" w:styleId="BodyTextIndent">
    <w:name w:val="Body Text Indent"/>
    <w:basedOn w:val="Normal"/>
    <w:pPr>
      <w:tabs>
        <w:tab w:val="left" w:pos="0"/>
        <w:tab w:val="left" w:pos="566"/>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ind w:left="2550" w:hanging="2550"/>
      <w:jc w:val="both"/>
    </w:pPr>
    <w:rPr>
      <w:sz w:val="22"/>
      <w:lang w:val="es-AR"/>
    </w:rPr>
  </w:style>
  <w:style w:type="paragraph" w:customStyle="1" w:styleId="Textoindependiente21">
    <w:name w:val="Texto independiente 21"/>
    <w:basedOn w:val="Normal"/>
    <w:pPr>
      <w:overflowPunct w:val="0"/>
      <w:autoSpaceDE w:val="0"/>
      <w:autoSpaceDN w:val="0"/>
      <w:adjustRightInd w:val="0"/>
      <w:jc w:val="both"/>
      <w:textAlignment w:val="baseline"/>
    </w:pPr>
    <w:rPr>
      <w:rFonts w:ascii="Arial" w:hAnsi="Arial"/>
      <w:sz w:val="22"/>
      <w:szCs w:val="20"/>
      <w:lang w:val="es-ES_tradnl"/>
    </w:rPr>
  </w:style>
  <w:style w:type="character" w:styleId="Hyperlink">
    <w:name w:val="Hyperlink"/>
    <w:rPr>
      <w:color w:val="0000FF"/>
      <w:u w:val="single"/>
    </w:rPr>
  </w:style>
  <w:style w:type="character" w:styleId="EndnoteReference">
    <w:name w:val="endnote reference"/>
    <w:semiHidden/>
    <w:rPr>
      <w:vertAlign w:val="superscript"/>
    </w:rPr>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paragraph" w:customStyle="1" w:styleId="DPWfdPF">
    <w:name w:val="DPW fd PF"/>
    <w:aliases w:val="pf,p,f,DPW PF,f Car"/>
    <w:basedOn w:val="Normal"/>
    <w:link w:val="DPWfdPFChar"/>
    <w:rsid w:val="00857D56"/>
    <w:pPr>
      <w:overflowPunct w:val="0"/>
      <w:autoSpaceDE w:val="0"/>
      <w:autoSpaceDN w:val="0"/>
      <w:adjustRightInd w:val="0"/>
      <w:spacing w:after="200"/>
      <w:ind w:firstLine="360"/>
      <w:textAlignment w:val="baseline"/>
    </w:pPr>
    <w:rPr>
      <w:sz w:val="20"/>
      <w:szCs w:val="20"/>
      <w:lang w:val="en-US"/>
    </w:rPr>
  </w:style>
  <w:style w:type="paragraph" w:styleId="ListParagraph">
    <w:name w:val="List Paragraph"/>
    <w:aliases w:val="List1,List Paragraph(a),הערת שוליים,ANSWER"/>
    <w:basedOn w:val="Normal"/>
    <w:link w:val="ListParagraphChar"/>
    <w:uiPriority w:val="34"/>
    <w:qFormat/>
    <w:rsid w:val="006D40DF"/>
    <w:pPr>
      <w:ind w:left="708"/>
    </w:pPr>
  </w:style>
  <w:style w:type="paragraph" w:styleId="BalloonText">
    <w:name w:val="Balloon Text"/>
    <w:basedOn w:val="Normal"/>
    <w:semiHidden/>
    <w:rsid w:val="008B3031"/>
    <w:rPr>
      <w:rFonts w:ascii="Tahoma" w:hAnsi="Tahoma" w:cs="Tahoma"/>
      <w:sz w:val="16"/>
      <w:szCs w:val="16"/>
    </w:rPr>
  </w:style>
  <w:style w:type="paragraph" w:customStyle="1" w:styleId="Default">
    <w:name w:val="Default"/>
    <w:basedOn w:val="Normal"/>
    <w:uiPriority w:val="99"/>
    <w:rsid w:val="000702DE"/>
    <w:pPr>
      <w:autoSpaceDE w:val="0"/>
      <w:autoSpaceDN w:val="0"/>
    </w:pPr>
    <w:rPr>
      <w:rFonts w:ascii="Arial" w:eastAsia="Calibri" w:hAnsi="Arial" w:cs="Arial"/>
      <w:color w:val="000000"/>
    </w:rPr>
  </w:style>
  <w:style w:type="paragraph" w:styleId="BodyText">
    <w:name w:val="Body Text"/>
    <w:aliases w:val="b,bt,body text,Texto independienteR,Body Text1,5"/>
    <w:basedOn w:val="Normal"/>
    <w:link w:val="BodyTextChar"/>
    <w:rsid w:val="00B707C4"/>
    <w:pPr>
      <w:spacing w:after="120"/>
      <w:jc w:val="both"/>
    </w:pPr>
  </w:style>
  <w:style w:type="character" w:customStyle="1" w:styleId="BodyTextChar">
    <w:name w:val="Body Text Char"/>
    <w:aliases w:val="b Char,bt Char,body text Char,Texto independienteR Char,Body Text1 Char,5 Char"/>
    <w:link w:val="BodyText"/>
    <w:rsid w:val="00B707C4"/>
    <w:rPr>
      <w:sz w:val="24"/>
      <w:szCs w:val="24"/>
      <w:lang w:val="es-ES" w:eastAsia="es-ES"/>
    </w:rPr>
  </w:style>
  <w:style w:type="character" w:customStyle="1" w:styleId="DPWfdPFChar">
    <w:name w:val="DPW fd PF Char"/>
    <w:link w:val="DPWfdPF"/>
    <w:locked/>
    <w:rsid w:val="00842FFD"/>
    <w:rPr>
      <w:lang w:val="en-US" w:eastAsia="es-ES"/>
    </w:rPr>
  </w:style>
  <w:style w:type="paragraph" w:styleId="FootnoteText">
    <w:name w:val="footnote text"/>
    <w:aliases w:val="Car1,Car3,fn,footnote text1,Footnote Text Char2,Footnote Text Char Char,Footnote Text Char2 Char1 Char,Footnote Text Char Char Char2 Char,Footnote Text Char2 Char1 Char Char Char,Footnote Text Char Char Char2 Char Char Char"/>
    <w:basedOn w:val="Normal"/>
    <w:link w:val="FootnoteTextChar"/>
    <w:uiPriority w:val="99"/>
    <w:qFormat/>
    <w:rsid w:val="006570AB"/>
    <w:rPr>
      <w:sz w:val="20"/>
      <w:szCs w:val="20"/>
    </w:rPr>
  </w:style>
  <w:style w:type="character" w:customStyle="1" w:styleId="FootnoteTextChar">
    <w:name w:val="Footnote Text Char"/>
    <w:aliases w:val="Car1 Char,Car3 Char,fn Char,footnote text1 Char,Footnote Text Char2 Char,Footnote Text Char Char Char,Footnote Text Char2 Char1 Char Char,Footnote Text Char Char Char2 Char Char,Footnote Text Char2 Char1 Char Char Char Char"/>
    <w:link w:val="FootnoteText"/>
    <w:uiPriority w:val="99"/>
    <w:rsid w:val="006570AB"/>
    <w:rPr>
      <w:lang w:val="es-ES" w:eastAsia="es-ES"/>
    </w:rPr>
  </w:style>
  <w:style w:type="character" w:styleId="FootnoteReference">
    <w:name w:val="footnote reference"/>
    <w:aliases w:val="fr,o,*,FC,(Diplomarbeit FZ),(Diplomarbeit FZ)1,(Diplomarbeit FZ)2,(Diplomarbeit FZ)3,(Diplomarbeit FZ)4,(Diplomarbeit FZ)5,(Diplomarbeit FZ)6,-E Fußnotenzeichen,Footnote number,Ref,Style 13,Style 21,Style 6,de nota al pie,註腳內容"/>
    <w:uiPriority w:val="99"/>
    <w:rsid w:val="006570AB"/>
    <w:rPr>
      <w:vertAlign w:val="superscript"/>
    </w:rPr>
  </w:style>
  <w:style w:type="paragraph" w:styleId="BodyText3">
    <w:name w:val="Body Text 3"/>
    <w:basedOn w:val="Normal"/>
    <w:link w:val="BodyText3Char"/>
    <w:rsid w:val="005B02E1"/>
    <w:pPr>
      <w:spacing w:after="120"/>
    </w:pPr>
    <w:rPr>
      <w:sz w:val="16"/>
      <w:szCs w:val="16"/>
    </w:rPr>
  </w:style>
  <w:style w:type="character" w:customStyle="1" w:styleId="BodyText3Char">
    <w:name w:val="Body Text 3 Char"/>
    <w:link w:val="BodyText3"/>
    <w:rsid w:val="005B02E1"/>
    <w:rPr>
      <w:sz w:val="16"/>
      <w:szCs w:val="16"/>
      <w:lang w:val="es-ES" w:eastAsia="es-ES"/>
    </w:rPr>
  </w:style>
  <w:style w:type="paragraph" w:styleId="Revision">
    <w:name w:val="Revision"/>
    <w:hidden/>
    <w:uiPriority w:val="99"/>
    <w:semiHidden/>
    <w:rsid w:val="00B540F1"/>
    <w:rPr>
      <w:sz w:val="24"/>
      <w:szCs w:val="24"/>
      <w:lang w:val="es-ES" w:eastAsia="es-ES"/>
    </w:rPr>
  </w:style>
  <w:style w:type="character" w:styleId="UnresolvedMention">
    <w:name w:val="Unresolved Mention"/>
    <w:basedOn w:val="DefaultParagraphFont"/>
    <w:uiPriority w:val="99"/>
    <w:semiHidden/>
    <w:unhideWhenUsed/>
    <w:rsid w:val="000347C1"/>
    <w:rPr>
      <w:color w:val="605E5C"/>
      <w:shd w:val="clear" w:color="auto" w:fill="E1DFDD"/>
    </w:rPr>
  </w:style>
  <w:style w:type="table" w:styleId="TableGrid">
    <w:name w:val="Table Grid"/>
    <w:basedOn w:val="TableNormal"/>
    <w:uiPriority w:val="39"/>
    <w:rsid w:val="00BA0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1 Char,List Paragraph(a) Char,הערת שוליים Char,ANSWER Char"/>
    <w:link w:val="ListParagraph"/>
    <w:uiPriority w:val="34"/>
    <w:rsid w:val="00607AC0"/>
    <w:rPr>
      <w:sz w:val="24"/>
      <w:szCs w:val="24"/>
      <w:lang w:val="es-ES" w:eastAsia="es-ES"/>
    </w:rPr>
  </w:style>
  <w:style w:type="character" w:styleId="CommentReference">
    <w:name w:val="annotation reference"/>
    <w:basedOn w:val="DefaultParagraphFont"/>
    <w:rsid w:val="003645CE"/>
    <w:rPr>
      <w:sz w:val="16"/>
      <w:szCs w:val="16"/>
    </w:rPr>
  </w:style>
  <w:style w:type="paragraph" w:styleId="CommentText">
    <w:name w:val="annotation text"/>
    <w:basedOn w:val="Normal"/>
    <w:link w:val="CommentTextChar"/>
    <w:rsid w:val="003645CE"/>
    <w:rPr>
      <w:sz w:val="20"/>
      <w:szCs w:val="20"/>
    </w:rPr>
  </w:style>
  <w:style w:type="character" w:customStyle="1" w:styleId="CommentTextChar">
    <w:name w:val="Comment Text Char"/>
    <w:basedOn w:val="DefaultParagraphFont"/>
    <w:link w:val="CommentText"/>
    <w:rsid w:val="003645CE"/>
    <w:rPr>
      <w:lang w:val="es-ES" w:eastAsia="es-ES"/>
    </w:rPr>
  </w:style>
  <w:style w:type="paragraph" w:styleId="CommentSubject">
    <w:name w:val="annotation subject"/>
    <w:basedOn w:val="CommentText"/>
    <w:next w:val="CommentText"/>
    <w:link w:val="CommentSubjectChar"/>
    <w:rsid w:val="003645CE"/>
    <w:rPr>
      <w:b/>
      <w:bCs/>
    </w:rPr>
  </w:style>
  <w:style w:type="character" w:customStyle="1" w:styleId="CommentSubjectChar">
    <w:name w:val="Comment Subject Char"/>
    <w:basedOn w:val="CommentTextChar"/>
    <w:link w:val="CommentSubject"/>
    <w:rsid w:val="003645CE"/>
    <w:rPr>
      <w:b/>
      <w:bCs/>
      <w:lang w:val="es-ES" w:eastAsia="es-ES"/>
    </w:rPr>
  </w:style>
  <w:style w:type="paragraph" w:customStyle="1" w:styleId="BULLETS5">
    <w:name w:val="BULLETS.5"/>
    <w:basedOn w:val="Normal"/>
    <w:uiPriority w:val="99"/>
    <w:rsid w:val="001C7AB7"/>
    <w:pPr>
      <w:numPr>
        <w:numId w:val="10"/>
      </w:numPr>
      <w:autoSpaceDE w:val="0"/>
      <w:autoSpaceDN w:val="0"/>
      <w:adjustRightInd w:val="0"/>
      <w:spacing w:after="240"/>
      <w:ind w:left="1080"/>
    </w:pPr>
    <w:rPr>
      <w:sz w:val="20"/>
      <w:lang w:val="en-US" w:eastAsia="en-US"/>
    </w:rPr>
  </w:style>
  <w:style w:type="table" w:customStyle="1" w:styleId="Tablaconcuadrcula1">
    <w:name w:val="Tabla con cuadrícula1"/>
    <w:basedOn w:val="TableNormal"/>
    <w:next w:val="TableGrid"/>
    <w:rsid w:val="00492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776903">
      <w:bodyDiv w:val="1"/>
      <w:marLeft w:val="0"/>
      <w:marRight w:val="0"/>
      <w:marTop w:val="0"/>
      <w:marBottom w:val="0"/>
      <w:divBdr>
        <w:top w:val="none" w:sz="0" w:space="0" w:color="auto"/>
        <w:left w:val="none" w:sz="0" w:space="0" w:color="auto"/>
        <w:bottom w:val="none" w:sz="0" w:space="0" w:color="auto"/>
        <w:right w:val="none" w:sz="0" w:space="0" w:color="auto"/>
      </w:divBdr>
    </w:div>
    <w:div w:id="434835935">
      <w:bodyDiv w:val="1"/>
      <w:marLeft w:val="0"/>
      <w:marRight w:val="0"/>
      <w:marTop w:val="0"/>
      <w:marBottom w:val="0"/>
      <w:divBdr>
        <w:top w:val="none" w:sz="0" w:space="0" w:color="auto"/>
        <w:left w:val="none" w:sz="0" w:space="0" w:color="auto"/>
        <w:bottom w:val="none" w:sz="0" w:space="0" w:color="auto"/>
        <w:right w:val="none" w:sz="0" w:space="0" w:color="auto"/>
      </w:divBdr>
    </w:div>
    <w:div w:id="1060708895">
      <w:bodyDiv w:val="1"/>
      <w:marLeft w:val="0"/>
      <w:marRight w:val="0"/>
      <w:marTop w:val="0"/>
      <w:marBottom w:val="0"/>
      <w:divBdr>
        <w:top w:val="none" w:sz="0" w:space="0" w:color="auto"/>
        <w:left w:val="none" w:sz="0" w:space="0" w:color="auto"/>
        <w:bottom w:val="none" w:sz="0" w:space="0" w:color="auto"/>
        <w:right w:val="none" w:sz="0" w:space="0" w:color="auto"/>
      </w:divBdr>
    </w:div>
    <w:div w:id="1156841881">
      <w:bodyDiv w:val="1"/>
      <w:marLeft w:val="0"/>
      <w:marRight w:val="0"/>
      <w:marTop w:val="0"/>
      <w:marBottom w:val="0"/>
      <w:divBdr>
        <w:top w:val="none" w:sz="0" w:space="0" w:color="auto"/>
        <w:left w:val="none" w:sz="0" w:space="0" w:color="auto"/>
        <w:bottom w:val="none" w:sz="0" w:space="0" w:color="auto"/>
        <w:right w:val="none" w:sz="0" w:space="0" w:color="auto"/>
      </w:divBdr>
    </w:div>
    <w:div w:id="1190293057">
      <w:bodyDiv w:val="1"/>
      <w:marLeft w:val="0"/>
      <w:marRight w:val="0"/>
      <w:marTop w:val="0"/>
      <w:marBottom w:val="0"/>
      <w:divBdr>
        <w:top w:val="none" w:sz="0" w:space="0" w:color="auto"/>
        <w:left w:val="none" w:sz="0" w:space="0" w:color="auto"/>
        <w:bottom w:val="none" w:sz="0" w:space="0" w:color="auto"/>
        <w:right w:val="none" w:sz="0" w:space="0" w:color="auto"/>
      </w:divBdr>
    </w:div>
    <w:div w:id="1369258993">
      <w:bodyDiv w:val="1"/>
      <w:marLeft w:val="0"/>
      <w:marRight w:val="0"/>
      <w:marTop w:val="0"/>
      <w:marBottom w:val="0"/>
      <w:divBdr>
        <w:top w:val="none" w:sz="0" w:space="0" w:color="auto"/>
        <w:left w:val="none" w:sz="0" w:space="0" w:color="auto"/>
        <w:bottom w:val="none" w:sz="0" w:space="0" w:color="auto"/>
        <w:right w:val="none" w:sz="0" w:space="0" w:color="auto"/>
      </w:divBdr>
    </w:div>
    <w:div w:id="149718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donzelli@invertironline.com"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mailto:ib@balanz.com" TargetMode="External"/><Relationship Id="rId17" Type="http://schemas.openxmlformats.org/officeDocument/2006/relationships/image" Target="cid:ii_l333ebny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oguevara@portfoliopersonal.com"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isionesprimarias@allaria.com.a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gustin.vilaseca@latinsecurities.ar" TargetMode="External"/><Relationship Id="rId23" Type="http://schemas.openxmlformats.org/officeDocument/2006/relationships/footer" Target="footer1.xml"/><Relationship Id="rId10" Type="http://schemas.openxmlformats.org/officeDocument/2006/relationships/hyperlink" Target="mailto:mesa-investors-arg.group@bbva.com)"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marketdata.mae.com.ar/licitaciones" TargetMode="External"/><Relationship Id="rId14" Type="http://schemas.openxmlformats.org/officeDocument/2006/relationships/hyperlink" Target="mailto:mmarando@invertironline.com" TargetMode="External"/><Relationship Id="rId22"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0818B-52D1-46D0-B44D-ABD173691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5251</Words>
  <Characters>29931</Characters>
  <Application>Microsoft Office Word</Application>
  <DocSecurity>0</DocSecurity>
  <Lines>249</Lines>
  <Paragraphs>70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AVISO SUSCRIPCION SERIE 4  (172831.DOC;1)</vt:lpstr>
      <vt:lpstr>AVISO SUSCRIPCION SERIE 4  (172831.DOC;1)</vt:lpstr>
    </vt:vector>
  </TitlesOfParts>
  <Company>Hewlett-Packard Company</Company>
  <LinksUpToDate>false</LinksUpToDate>
  <CharactersWithSpaces>35112</CharactersWithSpaces>
  <SharedDoc>false</SharedDoc>
  <HLinks>
    <vt:vector size="12" baseType="variant">
      <vt:variant>
        <vt:i4>5636134</vt:i4>
      </vt:variant>
      <vt:variant>
        <vt:i4>3</vt:i4>
      </vt:variant>
      <vt:variant>
        <vt:i4>0</vt:i4>
      </vt:variant>
      <vt:variant>
        <vt:i4>5</vt:i4>
      </vt:variant>
      <vt:variant>
        <vt:lpwstr>mailto:adolfocesar.martinezluque@bbva.com</vt:lpwstr>
      </vt:variant>
      <vt:variant>
        <vt:lpwstr/>
      </vt:variant>
      <vt:variant>
        <vt:i4>7536762</vt:i4>
      </vt:variant>
      <vt:variant>
        <vt:i4>0</vt:i4>
      </vt:variant>
      <vt:variant>
        <vt:i4>0</vt:i4>
      </vt:variant>
      <vt:variant>
        <vt:i4>5</vt:i4>
      </vt:variant>
      <vt:variant>
        <vt:lpwstr>http://www.mae.com.ar/mercados/mpmae/index.aspx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SUSCRIPCION SERIE 4  (172831.DOC;1)</dc:title>
  <dc:subject>HDS: 172831.DOC v.1/font=8</dc:subject>
  <dc:creator>Gotardo Pedemonte</dc:creator>
  <cp:keywords/>
  <cp:lastModifiedBy>Agustina Weil</cp:lastModifiedBy>
  <cp:revision>5</cp:revision>
  <cp:lastPrinted>2019-02-20T17:19:00Z</cp:lastPrinted>
  <dcterms:created xsi:type="dcterms:W3CDTF">2026-04-29T18:36:00Z</dcterms:created>
  <dcterms:modified xsi:type="dcterms:W3CDTF">2026-04-29T20:29:00Z</dcterms:modified>
</cp:coreProperties>
</file>